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031F0B37" w:rsidR="00F060AB" w:rsidRPr="003546AE" w:rsidRDefault="00BC1208" w:rsidP="00F060AB">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7C2257F6" w:rsidR="00F060AB" w:rsidRPr="00BF7A5C" w:rsidRDefault="00BC1208" w:rsidP="00F060AB">
      <w:pPr>
        <w:pStyle w:val="ReportTitle"/>
      </w:pPr>
      <w:r w:rsidRPr="00BF7A5C">
        <w:t xml:space="preserve">Independent Evaluation Report on an Application for </w:t>
      </w:r>
      <w:r>
        <w:t>V</w:t>
      </w:r>
      <w:r w:rsidRPr="00BF7A5C">
        <w:t>alidation of a Programme of Education and Training</w:t>
      </w:r>
    </w:p>
    <w:p w14:paraId="2F62D1A8" w14:textId="77777777" w:rsidR="00F060AB" w:rsidRPr="003546AE" w:rsidRDefault="00BC1208" w:rsidP="007A3DD8">
      <w:pPr>
        <w:pStyle w:val="Heading1"/>
        <w:numPr>
          <w:ilvl w:val="0"/>
          <w:numId w:val="28"/>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302DC7">
        <w:tc>
          <w:tcPr>
            <w:tcW w:w="3544" w:type="dxa"/>
            <w:shd w:val="clear" w:color="auto" w:fill="D9E2F3" w:themeFill="accent1" w:themeFillTint="33"/>
          </w:tcPr>
          <w:p w14:paraId="7D11D3B9" w14:textId="77777777" w:rsidR="00F060AB" w:rsidRPr="003546AE" w:rsidRDefault="00BC1208" w:rsidP="00302DC7">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524202EF" w:rsidR="00F060AB" w:rsidRPr="003546AE" w:rsidRDefault="00A434F6" w:rsidP="00302DC7">
            <w:pPr>
              <w:spacing w:after="0" w:line="240" w:lineRule="auto"/>
              <w:rPr>
                <w:rFonts w:eastAsia="Times New Roman" w:cstheme="minorHAnsi"/>
              </w:rPr>
            </w:pPr>
            <w:r>
              <w:rPr>
                <w:rFonts w:eastAsia="Times New Roman" w:cstheme="minorHAnsi"/>
              </w:rPr>
              <w:t>DBS</w:t>
            </w:r>
          </w:p>
        </w:tc>
      </w:tr>
      <w:tr w:rsidR="00F060AB" w:rsidRPr="003546AE" w14:paraId="6692AFCB" w14:textId="77777777" w:rsidTr="00302DC7">
        <w:tc>
          <w:tcPr>
            <w:tcW w:w="3544" w:type="dxa"/>
            <w:shd w:val="clear" w:color="auto" w:fill="D9E2F3" w:themeFill="accent1" w:themeFillTint="33"/>
          </w:tcPr>
          <w:p w14:paraId="3BFAAFD7"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237A778B" w:rsidR="00F060AB" w:rsidRPr="003546AE" w:rsidRDefault="00A434F6" w:rsidP="00302DC7">
            <w:pPr>
              <w:spacing w:after="0" w:line="240" w:lineRule="auto"/>
              <w:rPr>
                <w:rFonts w:eastAsia="Times New Roman" w:cstheme="minorHAnsi"/>
              </w:rPr>
            </w:pPr>
            <w:r>
              <w:rPr>
                <w:rFonts w:eastAsia="Times New Roman" w:cstheme="minorHAnsi"/>
              </w:rPr>
              <w:t>28</w:t>
            </w:r>
            <w:r w:rsidRPr="00A434F6">
              <w:rPr>
                <w:rFonts w:eastAsia="Times New Roman" w:cstheme="minorHAnsi"/>
                <w:vertAlign w:val="superscript"/>
              </w:rPr>
              <w:t>th</w:t>
            </w:r>
            <w:r>
              <w:rPr>
                <w:rFonts w:eastAsia="Times New Roman" w:cstheme="minorHAnsi"/>
              </w:rPr>
              <w:t xml:space="preserve"> April 2022</w:t>
            </w:r>
          </w:p>
        </w:tc>
      </w:tr>
      <w:tr w:rsidR="00F060AB" w:rsidRPr="003546AE" w14:paraId="2D07F48F" w14:textId="77777777" w:rsidTr="00302DC7">
        <w:tc>
          <w:tcPr>
            <w:tcW w:w="3544" w:type="dxa"/>
            <w:shd w:val="clear" w:color="auto" w:fill="D9E2F3" w:themeFill="accent1" w:themeFillTint="33"/>
          </w:tcPr>
          <w:p w14:paraId="246EDE22" w14:textId="77777777" w:rsidR="00F060AB" w:rsidRPr="003546AE" w:rsidRDefault="00BC1208" w:rsidP="00302DC7">
            <w:pPr>
              <w:spacing w:after="0" w:line="240" w:lineRule="auto"/>
              <w:rPr>
                <w:rFonts w:eastAsia="Times New Roman" w:cstheme="minorHAnsi"/>
                <w:b/>
              </w:rPr>
            </w:pPr>
            <w:r w:rsidRPr="0095523F">
              <w:rPr>
                <w:rFonts w:eastAsia="Times New Roman" w:cstheme="minorHAnsi"/>
                <w:b/>
              </w:rPr>
              <w:t>Date of report</w:t>
            </w:r>
          </w:p>
        </w:tc>
        <w:tc>
          <w:tcPr>
            <w:tcW w:w="5528" w:type="dxa"/>
          </w:tcPr>
          <w:p w14:paraId="4C4C7A98" w14:textId="2C155A6E" w:rsidR="00F060AB" w:rsidRPr="003546AE" w:rsidRDefault="0095523F" w:rsidP="00302DC7">
            <w:pPr>
              <w:spacing w:after="0" w:line="240" w:lineRule="auto"/>
              <w:rPr>
                <w:rFonts w:eastAsia="Times New Roman" w:cstheme="minorHAnsi"/>
              </w:rPr>
            </w:pPr>
            <w:r>
              <w:rPr>
                <w:rFonts w:eastAsia="Times New Roman" w:cstheme="minorHAnsi"/>
              </w:rPr>
              <w:t>17</w:t>
            </w:r>
            <w:r w:rsidRPr="0095523F">
              <w:rPr>
                <w:rFonts w:eastAsia="Times New Roman" w:cstheme="minorHAnsi"/>
                <w:vertAlign w:val="superscript"/>
              </w:rPr>
              <w:t>th</w:t>
            </w:r>
            <w:r>
              <w:rPr>
                <w:rFonts w:eastAsia="Times New Roman" w:cstheme="minorHAnsi"/>
              </w:rPr>
              <w:t xml:space="preserve"> May 2022</w:t>
            </w:r>
          </w:p>
        </w:tc>
      </w:tr>
      <w:bookmarkEnd w:id="0"/>
    </w:tbl>
    <w:p w14:paraId="253DD589" w14:textId="77777777" w:rsidR="00F060AB" w:rsidRPr="003546AE" w:rsidRDefault="00D35F8D" w:rsidP="00F060AB">
      <w:pPr>
        <w:spacing w:after="0" w:line="240" w:lineRule="auto"/>
        <w:rPr>
          <w:rFonts w:eastAsia="Times New Roman" w:cstheme="minorHAnsi"/>
        </w:rPr>
      </w:pPr>
    </w:p>
    <w:p w14:paraId="5035BC77" w14:textId="77777777" w:rsidR="00F060AB" w:rsidRPr="00BF7A5C" w:rsidRDefault="00BC1208" w:rsidP="007A3DD8">
      <w:pPr>
        <w:pStyle w:val="SectionHeading"/>
        <w:numPr>
          <w:ilvl w:val="0"/>
          <w:numId w:val="29"/>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F060AB" w:rsidRPr="003546AE" w14:paraId="5F7FF7F3" w14:textId="77777777" w:rsidTr="00302DC7">
        <w:tc>
          <w:tcPr>
            <w:tcW w:w="1560" w:type="dxa"/>
            <w:vMerge w:val="restart"/>
            <w:shd w:val="clear" w:color="auto" w:fill="D9E2F3" w:themeFill="accent1" w:themeFillTint="33"/>
          </w:tcPr>
          <w:p w14:paraId="388BF6F3"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9E2F3" w:themeFill="accent1" w:themeFillTint="33"/>
          </w:tcPr>
          <w:p w14:paraId="6C8D9A52" w14:textId="77777777" w:rsidR="00F060AB" w:rsidRPr="003546AE" w:rsidRDefault="00BC1208" w:rsidP="00302DC7">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CF8AE1E" w:rsidR="00F060AB" w:rsidRPr="003546AE" w:rsidRDefault="00A434F6" w:rsidP="00302DC7">
            <w:pPr>
              <w:spacing w:after="0" w:line="240" w:lineRule="auto"/>
              <w:rPr>
                <w:rFonts w:eastAsia="Times New Roman" w:cstheme="minorHAnsi"/>
              </w:rPr>
            </w:pPr>
            <w:r>
              <w:rPr>
                <w:rFonts w:eastAsia="Times New Roman" w:cstheme="minorHAnsi"/>
              </w:rPr>
              <w:t>MSc in Health Psychology</w:t>
            </w:r>
          </w:p>
        </w:tc>
      </w:tr>
      <w:tr w:rsidR="00F060AB" w:rsidRPr="003546AE" w14:paraId="07C9DBDA" w14:textId="77777777" w:rsidTr="00302DC7">
        <w:tc>
          <w:tcPr>
            <w:tcW w:w="1560" w:type="dxa"/>
            <w:vMerge/>
            <w:shd w:val="clear" w:color="auto" w:fill="D9E2F3" w:themeFill="accent1" w:themeFillTint="33"/>
          </w:tcPr>
          <w:p w14:paraId="4B5800D7" w14:textId="77777777" w:rsidR="00F060AB" w:rsidRPr="003546AE" w:rsidRDefault="00D35F8D" w:rsidP="00302DC7">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F060AB" w:rsidRPr="003546AE" w:rsidRDefault="00BC1208" w:rsidP="00302DC7">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0A782ED2" w:rsidR="00F060AB" w:rsidRPr="003546AE" w:rsidRDefault="00A434F6" w:rsidP="00302DC7">
            <w:pPr>
              <w:spacing w:after="0" w:line="240" w:lineRule="auto"/>
              <w:rPr>
                <w:rFonts w:eastAsia="Times New Roman" w:cstheme="minorHAnsi"/>
              </w:rPr>
            </w:pPr>
            <w:r>
              <w:rPr>
                <w:rFonts w:eastAsia="Times New Roman" w:cstheme="minorHAnsi"/>
              </w:rPr>
              <w:t>Master of Science</w:t>
            </w:r>
          </w:p>
        </w:tc>
      </w:tr>
      <w:tr w:rsidR="00F060AB" w:rsidRPr="003546AE" w14:paraId="4B4AE619" w14:textId="77777777" w:rsidTr="00302DC7">
        <w:tc>
          <w:tcPr>
            <w:tcW w:w="1560" w:type="dxa"/>
            <w:vMerge/>
            <w:shd w:val="clear" w:color="auto" w:fill="D9E2F3" w:themeFill="accent1" w:themeFillTint="33"/>
          </w:tcPr>
          <w:p w14:paraId="660401AD" w14:textId="77777777" w:rsidR="00F060AB" w:rsidRPr="003546AE" w:rsidRDefault="00D35F8D" w:rsidP="00302DC7">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70388363" w:rsidR="00F060AB" w:rsidRPr="003546AE" w:rsidRDefault="00A434F6" w:rsidP="00302DC7">
            <w:pPr>
              <w:spacing w:after="0" w:line="240" w:lineRule="auto"/>
              <w:rPr>
                <w:rFonts w:eastAsia="Times New Roman" w:cstheme="minorHAnsi"/>
              </w:rPr>
            </w:pPr>
            <w:r>
              <w:rPr>
                <w:rFonts w:eastAsia="Times New Roman" w:cstheme="minorHAnsi"/>
              </w:rPr>
              <w:t>90 ECTS</w:t>
            </w:r>
          </w:p>
        </w:tc>
      </w:tr>
      <w:tr w:rsidR="00F060AB" w:rsidRPr="003546AE" w14:paraId="44BC099E" w14:textId="77777777" w:rsidTr="00302DC7">
        <w:tc>
          <w:tcPr>
            <w:tcW w:w="1560" w:type="dxa"/>
            <w:vMerge/>
            <w:tcBorders>
              <w:bottom w:val="single" w:sz="4" w:space="0" w:color="auto"/>
            </w:tcBorders>
            <w:shd w:val="clear" w:color="auto" w:fill="D9E2F3" w:themeFill="accent1" w:themeFillTint="33"/>
          </w:tcPr>
          <w:p w14:paraId="136A2BA5" w14:textId="77777777" w:rsidR="00F060AB" w:rsidRPr="003546AE" w:rsidRDefault="00D35F8D" w:rsidP="00302DC7">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Recommendation</w:t>
            </w:r>
          </w:p>
          <w:p w14:paraId="3C516748" w14:textId="77777777" w:rsidR="00F060AB" w:rsidRPr="003546AE" w:rsidRDefault="00BC1208" w:rsidP="00302DC7">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07C4AB33" w:rsidR="00F060AB" w:rsidRPr="003546AE" w:rsidRDefault="00A434F6" w:rsidP="00302DC7">
            <w:pPr>
              <w:spacing w:after="0" w:line="240" w:lineRule="auto"/>
              <w:rPr>
                <w:rFonts w:eastAsia="Times New Roman" w:cstheme="minorHAnsi"/>
              </w:rPr>
            </w:pPr>
            <w:r>
              <w:rPr>
                <w:rFonts w:eastAsia="Times New Roman" w:cstheme="minorHAnsi"/>
              </w:rPr>
              <w:t>Satisfactory subject to conditions set.</w:t>
            </w:r>
          </w:p>
        </w:tc>
      </w:tr>
      <w:tr w:rsidR="00F060AB" w:rsidRPr="003546AE" w14:paraId="4F8CEC1C" w14:textId="77777777" w:rsidTr="00302DC7">
        <w:tc>
          <w:tcPr>
            <w:tcW w:w="1560" w:type="dxa"/>
            <w:tcBorders>
              <w:top w:val="single" w:sz="4" w:space="0" w:color="auto"/>
              <w:left w:val="nil"/>
              <w:bottom w:val="single" w:sz="4" w:space="0" w:color="auto"/>
              <w:right w:val="nil"/>
            </w:tcBorders>
            <w:shd w:val="clear" w:color="auto" w:fill="FFFFFF" w:themeFill="background1"/>
          </w:tcPr>
          <w:p w14:paraId="7CC9C497" w14:textId="77777777" w:rsidR="00F060AB" w:rsidRPr="003546AE" w:rsidRDefault="00D35F8D" w:rsidP="00302DC7">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387DF05" w14:textId="77777777" w:rsidR="00F060AB" w:rsidRPr="003546AE" w:rsidRDefault="00D35F8D" w:rsidP="00302DC7">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6E83C0EB" w14:textId="77777777" w:rsidR="00F060AB" w:rsidRPr="003546AE" w:rsidRDefault="00D35F8D" w:rsidP="00302DC7">
            <w:pPr>
              <w:spacing w:after="0" w:line="240" w:lineRule="auto"/>
              <w:rPr>
                <w:rFonts w:eastAsia="Times New Roman" w:cstheme="minorHAnsi"/>
              </w:rPr>
            </w:pPr>
          </w:p>
        </w:tc>
      </w:tr>
      <w:tr w:rsidR="00F060AB" w:rsidRPr="003546AE" w14:paraId="5E643B66" w14:textId="77777777" w:rsidTr="00302DC7">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C4AC802"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Embedded programme 1</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ECC4"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72CE61" w14:textId="1B89D5A3" w:rsidR="00F060AB" w:rsidRPr="003546AE" w:rsidRDefault="00A434F6" w:rsidP="00302DC7">
            <w:pPr>
              <w:spacing w:after="0" w:line="240" w:lineRule="auto"/>
              <w:rPr>
                <w:rFonts w:eastAsia="Times New Roman" w:cstheme="minorHAnsi"/>
              </w:rPr>
            </w:pPr>
            <w:r>
              <w:rPr>
                <w:rFonts w:eastAsia="Times New Roman" w:cstheme="minorHAnsi"/>
              </w:rPr>
              <w:t>Postgraduate Diploma in Science in Health Psychology</w:t>
            </w:r>
          </w:p>
        </w:tc>
      </w:tr>
      <w:tr w:rsidR="00F060AB" w:rsidRPr="003546AE" w14:paraId="5D180877" w14:textId="77777777" w:rsidTr="004C22B4">
        <w:trPr>
          <w:trHeight w:val="70"/>
        </w:trPr>
        <w:tc>
          <w:tcPr>
            <w:tcW w:w="1560" w:type="dxa"/>
            <w:vMerge/>
            <w:tcBorders>
              <w:left w:val="single" w:sz="4" w:space="0" w:color="auto"/>
              <w:right w:val="single" w:sz="4" w:space="0" w:color="auto"/>
            </w:tcBorders>
            <w:shd w:val="clear" w:color="auto" w:fill="D9E2F3" w:themeFill="accent1" w:themeFillTint="33"/>
          </w:tcPr>
          <w:p w14:paraId="4647A1EE" w14:textId="77777777" w:rsidR="00F060AB" w:rsidRPr="003546AE" w:rsidRDefault="00D35F8D" w:rsidP="00302DC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BF430"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73AF46" w14:textId="76ADFEB0" w:rsidR="00F060AB" w:rsidRPr="003546AE" w:rsidRDefault="00A434F6" w:rsidP="00302DC7">
            <w:pPr>
              <w:spacing w:after="0" w:line="240" w:lineRule="auto"/>
              <w:rPr>
                <w:rFonts w:eastAsia="Times New Roman" w:cstheme="minorHAnsi"/>
              </w:rPr>
            </w:pPr>
            <w:r>
              <w:rPr>
                <w:rFonts w:eastAsia="Times New Roman" w:cstheme="minorHAnsi"/>
              </w:rPr>
              <w:t>Postgraduate Diploma in Science</w:t>
            </w:r>
          </w:p>
        </w:tc>
      </w:tr>
      <w:tr w:rsidR="00F060AB" w:rsidRPr="003546AE" w14:paraId="126F5DBD" w14:textId="77777777" w:rsidTr="00302DC7">
        <w:tc>
          <w:tcPr>
            <w:tcW w:w="1560" w:type="dxa"/>
            <w:vMerge/>
            <w:tcBorders>
              <w:left w:val="single" w:sz="4" w:space="0" w:color="auto"/>
              <w:right w:val="single" w:sz="4" w:space="0" w:color="auto"/>
            </w:tcBorders>
            <w:shd w:val="clear" w:color="auto" w:fill="D9E2F3" w:themeFill="accent1" w:themeFillTint="33"/>
          </w:tcPr>
          <w:p w14:paraId="7E09969E" w14:textId="77777777" w:rsidR="00F060AB" w:rsidRPr="003546AE" w:rsidRDefault="00D35F8D" w:rsidP="00302DC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41FFC"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AABF8A9" w14:textId="1F9BB601" w:rsidR="00F060AB" w:rsidRPr="003546AE" w:rsidRDefault="00A434F6" w:rsidP="00302DC7">
            <w:pPr>
              <w:spacing w:after="0" w:line="240" w:lineRule="auto"/>
              <w:rPr>
                <w:rFonts w:eastAsia="Times New Roman" w:cstheme="minorHAnsi"/>
              </w:rPr>
            </w:pPr>
            <w:r>
              <w:rPr>
                <w:rFonts w:eastAsia="Times New Roman" w:cstheme="minorHAnsi"/>
              </w:rPr>
              <w:t>60 ECTS</w:t>
            </w:r>
          </w:p>
        </w:tc>
      </w:tr>
      <w:tr w:rsidR="00F060AB" w:rsidRPr="003546AE" w14:paraId="4EFA1258" w14:textId="77777777" w:rsidTr="00302DC7">
        <w:tc>
          <w:tcPr>
            <w:tcW w:w="1560" w:type="dxa"/>
            <w:vMerge/>
            <w:tcBorders>
              <w:left w:val="single" w:sz="4" w:space="0" w:color="auto"/>
              <w:bottom w:val="single" w:sz="4" w:space="0" w:color="auto"/>
              <w:right w:val="single" w:sz="4" w:space="0" w:color="auto"/>
            </w:tcBorders>
            <w:shd w:val="clear" w:color="auto" w:fill="D9E2F3" w:themeFill="accent1" w:themeFillTint="33"/>
          </w:tcPr>
          <w:p w14:paraId="556BD62E" w14:textId="77777777" w:rsidR="00F060AB" w:rsidRPr="003546AE" w:rsidRDefault="00D35F8D" w:rsidP="00302DC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04773B"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75EE814" w14:textId="6DB1B3E4" w:rsidR="00F060AB" w:rsidRPr="003546AE" w:rsidRDefault="00A434F6" w:rsidP="00302DC7">
            <w:pPr>
              <w:spacing w:after="0" w:line="240" w:lineRule="auto"/>
              <w:rPr>
                <w:rFonts w:eastAsia="Times New Roman" w:cstheme="minorHAnsi"/>
              </w:rPr>
            </w:pPr>
            <w:r>
              <w:rPr>
                <w:rFonts w:eastAsia="Times New Roman" w:cstheme="minorHAnsi"/>
              </w:rPr>
              <w:t>Satisfactory subject to conditions set.</w:t>
            </w:r>
          </w:p>
        </w:tc>
      </w:tr>
    </w:tbl>
    <w:p w14:paraId="2E9008E2" w14:textId="77777777" w:rsidR="00F060AB" w:rsidRPr="003546AE" w:rsidRDefault="00BC1208" w:rsidP="00F060AB">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F060AB" w:rsidRPr="003546AE" w14:paraId="04CB87C6" w14:textId="77777777" w:rsidTr="00302DC7">
        <w:tc>
          <w:tcPr>
            <w:tcW w:w="2127" w:type="dxa"/>
            <w:shd w:val="clear" w:color="auto" w:fill="D9E2F3" w:themeFill="accent1" w:themeFillTint="33"/>
          </w:tcPr>
          <w:p w14:paraId="66B1A196" w14:textId="77777777" w:rsidR="00F060AB" w:rsidRPr="003546AE" w:rsidRDefault="00BC1208" w:rsidP="00302DC7">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F060AB" w:rsidRPr="003546AE" w:rsidRDefault="00BC1208" w:rsidP="00302DC7">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F060AB" w:rsidRPr="003546AE" w:rsidRDefault="00BC1208" w:rsidP="00302DC7">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F060AB" w:rsidRPr="003546AE" w14:paraId="1BB6877D" w14:textId="77777777" w:rsidTr="00302DC7">
        <w:tc>
          <w:tcPr>
            <w:tcW w:w="2127" w:type="dxa"/>
            <w:shd w:val="clear" w:color="auto" w:fill="auto"/>
          </w:tcPr>
          <w:p w14:paraId="0F245B93" w14:textId="5F404926" w:rsidR="00F060AB" w:rsidRPr="003546AE" w:rsidRDefault="00A434F6" w:rsidP="00302DC7">
            <w:pPr>
              <w:keepNext/>
              <w:keepLines/>
              <w:numPr>
                <w:ilvl w:val="1"/>
                <w:numId w:val="0"/>
              </w:numPr>
              <w:spacing w:before="40" w:line="276" w:lineRule="auto"/>
              <w:outlineLvl w:val="1"/>
              <w:rPr>
                <w:rFonts w:eastAsia="MS Gothic" w:cstheme="minorHAnsi"/>
              </w:rPr>
            </w:pPr>
            <w:r>
              <w:rPr>
                <w:rFonts w:eastAsia="MS Gothic" w:cstheme="minorHAnsi"/>
              </w:rPr>
              <w:t>Dr Annie Doona</w:t>
            </w:r>
          </w:p>
        </w:tc>
        <w:tc>
          <w:tcPr>
            <w:tcW w:w="2551" w:type="dxa"/>
            <w:shd w:val="clear" w:color="auto" w:fill="auto"/>
          </w:tcPr>
          <w:p w14:paraId="00D9C310" w14:textId="77777777" w:rsidR="00F060A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40DC6A76" w:rsidR="00F060AB" w:rsidRPr="003546AE" w:rsidRDefault="00A434F6" w:rsidP="00302DC7">
            <w:pPr>
              <w:keepNext/>
              <w:keepLines/>
              <w:numPr>
                <w:ilvl w:val="1"/>
                <w:numId w:val="0"/>
              </w:numPr>
              <w:spacing w:before="40" w:line="276" w:lineRule="auto"/>
              <w:outlineLvl w:val="1"/>
              <w:rPr>
                <w:rFonts w:eastAsia="MS Gothic" w:cstheme="minorHAnsi"/>
              </w:rPr>
            </w:pPr>
            <w:r>
              <w:rPr>
                <w:rFonts w:eastAsia="MS Gothic" w:cstheme="minorHAnsi"/>
              </w:rPr>
              <w:t>Independent consultant and former President of IADT</w:t>
            </w:r>
          </w:p>
        </w:tc>
      </w:tr>
      <w:tr w:rsidR="00F060AB" w:rsidRPr="003546AE" w14:paraId="1B3F3030" w14:textId="77777777" w:rsidTr="00302DC7">
        <w:trPr>
          <w:trHeight w:val="315"/>
        </w:trPr>
        <w:tc>
          <w:tcPr>
            <w:tcW w:w="2127" w:type="dxa"/>
            <w:shd w:val="clear" w:color="auto" w:fill="auto"/>
          </w:tcPr>
          <w:p w14:paraId="44787E02" w14:textId="501FD7A0" w:rsidR="00F060AB" w:rsidRPr="003546AE" w:rsidRDefault="00A434F6" w:rsidP="00302DC7">
            <w:pPr>
              <w:keepNext/>
              <w:keepLines/>
              <w:numPr>
                <w:ilvl w:val="1"/>
                <w:numId w:val="0"/>
              </w:numPr>
              <w:spacing w:before="40" w:line="276" w:lineRule="auto"/>
              <w:outlineLvl w:val="1"/>
              <w:rPr>
                <w:rFonts w:eastAsia="MS Gothic" w:cstheme="minorHAnsi"/>
              </w:rPr>
            </w:pPr>
            <w:r>
              <w:rPr>
                <w:rFonts w:eastAsia="MS Gothic" w:cstheme="minorHAnsi"/>
              </w:rPr>
              <w:t>Dr Claire Donnellan</w:t>
            </w:r>
          </w:p>
        </w:tc>
        <w:tc>
          <w:tcPr>
            <w:tcW w:w="2551" w:type="dxa"/>
            <w:shd w:val="clear" w:color="auto" w:fill="auto"/>
          </w:tcPr>
          <w:p w14:paraId="5D86E406" w14:textId="0F8C42AE" w:rsidR="00F060A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r w:rsidR="000858BD">
              <w:rPr>
                <w:rFonts w:eastAsia="MS Gothic" w:cstheme="minorHAnsi"/>
              </w:rPr>
              <w:t xml:space="preserve"> &amp; Industry Representative Role on the panel</w:t>
            </w:r>
          </w:p>
        </w:tc>
        <w:tc>
          <w:tcPr>
            <w:tcW w:w="4394" w:type="dxa"/>
            <w:shd w:val="clear" w:color="auto" w:fill="auto"/>
          </w:tcPr>
          <w:p w14:paraId="1AE69718" w14:textId="1947F2CE" w:rsidR="00F060AB" w:rsidRPr="003546AE" w:rsidRDefault="00A434F6" w:rsidP="00302DC7">
            <w:pPr>
              <w:keepNext/>
              <w:keepLines/>
              <w:numPr>
                <w:ilvl w:val="1"/>
                <w:numId w:val="0"/>
              </w:numPr>
              <w:spacing w:before="40" w:line="276" w:lineRule="auto"/>
              <w:outlineLvl w:val="1"/>
              <w:rPr>
                <w:rFonts w:eastAsia="MS Gothic" w:cstheme="minorHAnsi"/>
              </w:rPr>
            </w:pPr>
            <w:r>
              <w:rPr>
                <w:rFonts w:eastAsia="MS Gothic" w:cstheme="minorHAnsi"/>
              </w:rPr>
              <w:t>Assistant Professor, School of Nursing and Midwifery, Trinity College, Dublin</w:t>
            </w:r>
          </w:p>
        </w:tc>
      </w:tr>
      <w:tr w:rsidR="00F060AB" w:rsidRPr="003546AE" w14:paraId="124D60CD" w14:textId="77777777" w:rsidTr="00302DC7">
        <w:trPr>
          <w:trHeight w:val="315"/>
        </w:trPr>
        <w:tc>
          <w:tcPr>
            <w:tcW w:w="2127" w:type="dxa"/>
            <w:shd w:val="clear" w:color="auto" w:fill="auto"/>
          </w:tcPr>
          <w:p w14:paraId="62286B51" w14:textId="43428B86" w:rsidR="00F060AB" w:rsidRPr="003546AE" w:rsidRDefault="00427626" w:rsidP="00302DC7">
            <w:pPr>
              <w:keepNext/>
              <w:keepLines/>
              <w:numPr>
                <w:ilvl w:val="1"/>
                <w:numId w:val="0"/>
              </w:numPr>
              <w:spacing w:before="40" w:line="276" w:lineRule="auto"/>
              <w:outlineLvl w:val="1"/>
              <w:rPr>
                <w:rFonts w:eastAsia="MS Gothic" w:cstheme="minorHAnsi"/>
              </w:rPr>
            </w:pPr>
            <w:r>
              <w:rPr>
                <w:rFonts w:eastAsia="MS Gothic" w:cstheme="minorHAnsi"/>
              </w:rPr>
              <w:t>Dr Gavin Breslin</w:t>
            </w:r>
          </w:p>
        </w:tc>
        <w:tc>
          <w:tcPr>
            <w:tcW w:w="2551" w:type="dxa"/>
            <w:shd w:val="clear" w:color="auto" w:fill="auto"/>
          </w:tcPr>
          <w:p w14:paraId="43A9E003" w14:textId="77777777" w:rsidR="00F060A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703A7E8" w14:textId="03C7DF0A" w:rsidR="00F060AB" w:rsidRPr="003546AE" w:rsidRDefault="000858BD" w:rsidP="00302DC7">
            <w:pPr>
              <w:keepNext/>
              <w:keepLines/>
              <w:numPr>
                <w:ilvl w:val="1"/>
                <w:numId w:val="0"/>
              </w:numPr>
              <w:spacing w:before="40" w:line="276" w:lineRule="auto"/>
              <w:outlineLvl w:val="1"/>
              <w:rPr>
                <w:rFonts w:eastAsia="MS Gothic" w:cstheme="minorHAnsi"/>
              </w:rPr>
            </w:pPr>
            <w:r>
              <w:rPr>
                <w:rFonts w:eastAsia="MS Gothic" w:cstheme="minorHAnsi"/>
              </w:rPr>
              <w:t>Senior Lecturer and Research Director, School of Psychology, Ulster University</w:t>
            </w:r>
          </w:p>
        </w:tc>
      </w:tr>
      <w:tr w:rsidR="00F060AB" w:rsidRPr="003546AE" w14:paraId="42577048" w14:textId="77777777" w:rsidTr="00302DC7">
        <w:trPr>
          <w:trHeight w:val="315"/>
        </w:trPr>
        <w:tc>
          <w:tcPr>
            <w:tcW w:w="2127" w:type="dxa"/>
            <w:shd w:val="clear" w:color="auto" w:fill="auto"/>
          </w:tcPr>
          <w:p w14:paraId="00E80125" w14:textId="55F27F7C" w:rsidR="00F060AB" w:rsidRPr="003546AE" w:rsidRDefault="009B1C29" w:rsidP="00302DC7">
            <w:pPr>
              <w:keepNext/>
              <w:keepLines/>
              <w:numPr>
                <w:ilvl w:val="1"/>
                <w:numId w:val="0"/>
              </w:numPr>
              <w:spacing w:before="40" w:line="276" w:lineRule="auto"/>
              <w:outlineLvl w:val="1"/>
              <w:rPr>
                <w:rFonts w:eastAsia="MS Gothic" w:cstheme="minorHAnsi"/>
              </w:rPr>
            </w:pPr>
            <w:r>
              <w:rPr>
                <w:rFonts w:eastAsia="MS Gothic" w:cstheme="minorHAnsi"/>
              </w:rPr>
              <w:t>Mary Jennings</w:t>
            </w:r>
          </w:p>
        </w:tc>
        <w:tc>
          <w:tcPr>
            <w:tcW w:w="2551" w:type="dxa"/>
            <w:shd w:val="clear" w:color="auto" w:fill="auto"/>
          </w:tcPr>
          <w:p w14:paraId="5F808D3B" w14:textId="7F49C74C" w:rsidR="00F060AB" w:rsidRPr="003546AE" w:rsidRDefault="000858BD" w:rsidP="00302DC7">
            <w:pPr>
              <w:keepNext/>
              <w:keepLines/>
              <w:numPr>
                <w:ilvl w:val="1"/>
                <w:numId w:val="0"/>
              </w:numPr>
              <w:spacing w:before="40" w:line="276" w:lineRule="auto"/>
              <w:outlineLvl w:val="1"/>
              <w:rPr>
                <w:rFonts w:eastAsia="MS Gothic" w:cstheme="minorHAnsi"/>
              </w:rPr>
            </w:pPr>
            <w:r>
              <w:rPr>
                <w:rFonts w:eastAsia="MS Gothic" w:cstheme="minorHAnsi"/>
              </w:rPr>
              <w:t>Report Writer</w:t>
            </w:r>
          </w:p>
        </w:tc>
        <w:tc>
          <w:tcPr>
            <w:tcW w:w="4394" w:type="dxa"/>
            <w:shd w:val="clear" w:color="auto" w:fill="auto"/>
          </w:tcPr>
          <w:p w14:paraId="61B6F164" w14:textId="5B2B72D7" w:rsidR="00F060AB" w:rsidRPr="003546AE" w:rsidRDefault="000858BD" w:rsidP="00302DC7">
            <w:pPr>
              <w:rPr>
                <w:rFonts w:eastAsia="MS Gothic" w:cstheme="minorHAnsi"/>
              </w:rPr>
            </w:pPr>
            <w:r>
              <w:rPr>
                <w:rFonts w:eastAsia="MS Gothic" w:cstheme="minorHAnsi"/>
              </w:rPr>
              <w:t>Independent Consultant</w:t>
            </w:r>
          </w:p>
        </w:tc>
      </w:tr>
      <w:tr w:rsidR="00F060AB" w:rsidRPr="003546AE" w14:paraId="7D65CB60" w14:textId="77777777" w:rsidTr="00302DC7">
        <w:trPr>
          <w:trHeight w:val="315"/>
        </w:trPr>
        <w:tc>
          <w:tcPr>
            <w:tcW w:w="2127" w:type="dxa"/>
            <w:shd w:val="clear" w:color="auto" w:fill="auto"/>
          </w:tcPr>
          <w:p w14:paraId="2F7B43AA" w14:textId="1E5A79BD" w:rsidR="00F060AB" w:rsidRPr="003546AE" w:rsidRDefault="000858BD" w:rsidP="00302DC7">
            <w:pPr>
              <w:keepNext/>
              <w:keepLines/>
              <w:numPr>
                <w:ilvl w:val="1"/>
                <w:numId w:val="0"/>
              </w:numPr>
              <w:spacing w:before="40" w:line="276" w:lineRule="auto"/>
              <w:outlineLvl w:val="1"/>
              <w:rPr>
                <w:rFonts w:eastAsia="MS Gothic" w:cstheme="minorHAnsi"/>
              </w:rPr>
            </w:pPr>
            <w:r>
              <w:rPr>
                <w:rFonts w:eastAsia="MS Gothic" w:cstheme="minorHAnsi"/>
              </w:rPr>
              <w:t>Evelyn Flynn</w:t>
            </w:r>
          </w:p>
        </w:tc>
        <w:tc>
          <w:tcPr>
            <w:tcW w:w="2551" w:type="dxa"/>
            <w:shd w:val="clear" w:color="auto" w:fill="auto"/>
          </w:tcPr>
          <w:p w14:paraId="26DF8B81" w14:textId="77777777" w:rsidR="00F060A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68F796EC" w14:textId="1977F214" w:rsidR="00F060AB" w:rsidRPr="003546AE" w:rsidRDefault="000858BD" w:rsidP="00302DC7">
            <w:pPr>
              <w:rPr>
                <w:rFonts w:eastAsia="MS Gothic" w:cstheme="minorHAnsi"/>
              </w:rPr>
            </w:pPr>
            <w:r>
              <w:rPr>
                <w:rFonts w:eastAsia="MS Gothic" w:cstheme="minorHAnsi"/>
              </w:rPr>
              <w:t xml:space="preserve">Final year medical student RCSI Dublin </w:t>
            </w:r>
          </w:p>
        </w:tc>
      </w:tr>
    </w:tbl>
    <w:p w14:paraId="35FEF532" w14:textId="5EC95BEA" w:rsidR="00F060AB" w:rsidRPr="009C3D6F" w:rsidRDefault="00427626" w:rsidP="009C3D6F">
      <w:pPr>
        <w:pStyle w:val="SectionHeading"/>
        <w:rPr>
          <w:rFonts w:eastAsia="Times New Roman"/>
        </w:rPr>
      </w:pPr>
      <w:r w:rsidRPr="009C3D6F">
        <w:rPr>
          <w:rFonts w:eastAsia="Times New Roman"/>
        </w:rPr>
        <w:t>MSc in Health Psychology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3546AE" w14:paraId="77E055B4" w14:textId="77777777" w:rsidTr="00302DC7">
        <w:tc>
          <w:tcPr>
            <w:tcW w:w="4678" w:type="dxa"/>
            <w:tcBorders>
              <w:bottom w:val="single" w:sz="4" w:space="0" w:color="auto"/>
            </w:tcBorders>
            <w:shd w:val="clear" w:color="auto" w:fill="D9E2F3" w:themeFill="accent1" w:themeFillTint="33"/>
          </w:tcPr>
          <w:p w14:paraId="111160CC" w14:textId="77777777" w:rsidR="00F060AB" w:rsidRPr="003546AE" w:rsidRDefault="00BC1208" w:rsidP="00302DC7">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549C2270" w:rsidR="00F060AB" w:rsidRPr="003546AE" w:rsidRDefault="00BC1208" w:rsidP="00302DC7">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FT</w:t>
            </w:r>
            <w:r w:rsidRPr="003546AE">
              <w:rPr>
                <w:rFonts w:eastAsia="Times New Roman" w:cstheme="minorHAnsi"/>
                <w:i/>
              </w:rPr>
              <w:t>)</w:t>
            </w:r>
          </w:p>
        </w:tc>
        <w:tc>
          <w:tcPr>
            <w:tcW w:w="2126" w:type="dxa"/>
            <w:tcBorders>
              <w:bottom w:val="single" w:sz="4" w:space="0" w:color="auto"/>
            </w:tcBorders>
            <w:shd w:val="clear" w:color="auto" w:fill="D9E2F3" w:themeFill="accent1" w:themeFillTint="33"/>
          </w:tcPr>
          <w:p w14:paraId="4483304A" w14:textId="65E84F0D" w:rsidR="00F060AB" w:rsidRPr="003546AE" w:rsidRDefault="00BC1208" w:rsidP="00302DC7">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PT</w:t>
            </w:r>
            <w:r w:rsidRPr="003546AE">
              <w:rPr>
                <w:rFonts w:eastAsia="Times New Roman" w:cstheme="minorHAnsi"/>
                <w:i/>
              </w:rPr>
              <w:t>)</w:t>
            </w:r>
          </w:p>
        </w:tc>
      </w:tr>
      <w:tr w:rsidR="00F060AB" w:rsidRPr="003546AE" w14:paraId="30FB5341" w14:textId="77777777" w:rsidTr="00302DC7">
        <w:tc>
          <w:tcPr>
            <w:tcW w:w="4678" w:type="dxa"/>
            <w:tcBorders>
              <w:bottom w:val="single" w:sz="4" w:space="0" w:color="auto"/>
            </w:tcBorders>
            <w:shd w:val="clear" w:color="auto" w:fill="auto"/>
          </w:tcPr>
          <w:p w14:paraId="7444DDE3" w14:textId="2AC81BAE" w:rsidR="00F060AB" w:rsidRPr="003546AE" w:rsidRDefault="000858BD" w:rsidP="00302DC7">
            <w:pPr>
              <w:spacing w:after="0" w:line="240" w:lineRule="auto"/>
              <w:rPr>
                <w:rFonts w:eastAsia="Times New Roman" w:cstheme="minorHAnsi"/>
              </w:rPr>
            </w:pPr>
            <w:r>
              <w:rPr>
                <w:rFonts w:eastAsia="Times New Roman" w:cstheme="minorHAnsi"/>
              </w:rPr>
              <w:t>DBS Campus, Dublin</w:t>
            </w:r>
          </w:p>
        </w:tc>
        <w:tc>
          <w:tcPr>
            <w:tcW w:w="2268" w:type="dxa"/>
            <w:tcBorders>
              <w:bottom w:val="single" w:sz="4" w:space="0" w:color="auto"/>
            </w:tcBorders>
            <w:shd w:val="clear" w:color="auto" w:fill="auto"/>
          </w:tcPr>
          <w:p w14:paraId="11014547" w14:textId="66DB4953" w:rsidR="00F060AB" w:rsidRPr="003546AE" w:rsidRDefault="00427626" w:rsidP="00302DC7">
            <w:pPr>
              <w:spacing w:after="0" w:line="240" w:lineRule="auto"/>
              <w:rPr>
                <w:rFonts w:eastAsia="Times New Roman" w:cstheme="minorHAnsi"/>
              </w:rPr>
            </w:pPr>
            <w:r>
              <w:rPr>
                <w:rFonts w:eastAsia="Times New Roman" w:cstheme="minorHAnsi"/>
              </w:rPr>
              <w:t>100MS</w:t>
            </w:r>
          </w:p>
        </w:tc>
        <w:tc>
          <w:tcPr>
            <w:tcW w:w="2126" w:type="dxa"/>
            <w:tcBorders>
              <w:bottom w:val="single" w:sz="4" w:space="0" w:color="auto"/>
            </w:tcBorders>
          </w:tcPr>
          <w:p w14:paraId="78CB7959" w14:textId="32954BDC" w:rsidR="00F060AB" w:rsidRPr="003546AE" w:rsidRDefault="000858BD" w:rsidP="00302DC7">
            <w:pPr>
              <w:spacing w:after="0" w:line="240" w:lineRule="auto"/>
              <w:rPr>
                <w:rFonts w:eastAsia="Times New Roman" w:cstheme="minorHAnsi"/>
              </w:rPr>
            </w:pPr>
            <w:r>
              <w:rPr>
                <w:rFonts w:eastAsia="Times New Roman" w:cstheme="minorHAnsi"/>
              </w:rPr>
              <w:t>50</w:t>
            </w:r>
          </w:p>
        </w:tc>
      </w:tr>
    </w:tbl>
    <w:p w14:paraId="6F0E2407" w14:textId="0C89125D" w:rsidR="00F3329E" w:rsidRDefault="00D35F8D"/>
    <w:tbl>
      <w:tblPr>
        <w:tblStyle w:val="TableGrid2"/>
        <w:tblW w:w="9016" w:type="dxa"/>
        <w:tblInd w:w="0" w:type="dxa"/>
        <w:tblLook w:val="04A0" w:firstRow="1" w:lastRow="0" w:firstColumn="1" w:lastColumn="0" w:noHBand="0" w:noVBand="1"/>
      </w:tblPr>
      <w:tblGrid>
        <w:gridCol w:w="1271"/>
        <w:gridCol w:w="1672"/>
        <w:gridCol w:w="1681"/>
        <w:gridCol w:w="1756"/>
        <w:gridCol w:w="1488"/>
        <w:gridCol w:w="1148"/>
      </w:tblGrid>
      <w:tr w:rsidR="00F3329E" w:rsidRPr="00F3329E" w14:paraId="3924E0A2" w14:textId="77777777" w:rsidTr="00F3329E">
        <w:tc>
          <w:tcPr>
            <w:tcW w:w="9016" w:type="dxa"/>
            <w:gridSpan w:val="6"/>
            <w:shd w:val="clear" w:color="auto" w:fill="D9E2F3" w:themeFill="accent1" w:themeFillTint="33"/>
          </w:tcPr>
          <w:p w14:paraId="5E3883CB" w14:textId="5AEF75CA" w:rsidR="00F3329E" w:rsidRPr="00F3329E" w:rsidRDefault="00BC1208" w:rsidP="00F3329E">
            <w:pPr>
              <w:suppressAutoHyphens w:val="0"/>
              <w:rPr>
                <w:rFonts w:asciiTheme="minorHAnsi" w:hAnsiTheme="minorHAnsi" w:cstheme="minorHAnsi"/>
                <w:b/>
                <w:sz w:val="22"/>
                <w:szCs w:val="22"/>
                <w:lang w:eastAsia="en-US"/>
              </w:rPr>
            </w:pPr>
            <w:r w:rsidRPr="00F3329E">
              <w:rPr>
                <w:rFonts w:asciiTheme="minorHAnsi" w:hAnsiTheme="minorHAnsi" w:cstheme="minorHAnsi"/>
                <w:b/>
                <w:sz w:val="22"/>
                <w:szCs w:val="22"/>
                <w:lang w:eastAsia="en-US"/>
              </w:rPr>
              <w:t xml:space="preserve">Proposed </w:t>
            </w: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F3329E" w:rsidRPr="00F3329E" w14:paraId="4BF4FB3C" w14:textId="77777777" w:rsidTr="0048373B">
        <w:tc>
          <w:tcPr>
            <w:tcW w:w="1271" w:type="dxa"/>
            <w:vMerge w:val="restart"/>
            <w:shd w:val="clear" w:color="auto" w:fill="D9E2F3" w:themeFill="accent1" w:themeFillTint="33"/>
          </w:tcPr>
          <w:p w14:paraId="56CA712E" w14:textId="77777777" w:rsidR="00F3329E" w:rsidRPr="00F3329E" w:rsidRDefault="00D35F8D" w:rsidP="00F3329E">
            <w:pPr>
              <w:jc w:val="right"/>
              <w:rPr>
                <w:rFonts w:asciiTheme="minorHAnsi" w:hAnsiTheme="minorHAnsi" w:cstheme="minorHAnsi"/>
                <w:b/>
                <w:bCs/>
                <w:sz w:val="22"/>
                <w:szCs w:val="22"/>
              </w:rPr>
            </w:pPr>
          </w:p>
        </w:tc>
        <w:tc>
          <w:tcPr>
            <w:tcW w:w="1672" w:type="dxa"/>
            <w:vMerge w:val="restart"/>
            <w:shd w:val="clear" w:color="auto" w:fill="D9E2F3" w:themeFill="accent1" w:themeFillTint="33"/>
          </w:tcPr>
          <w:p w14:paraId="2F64D2BF" w14:textId="77777777" w:rsidR="00F3329E" w:rsidRPr="00F3329E" w:rsidRDefault="00D35F8D" w:rsidP="00F3329E">
            <w:pPr>
              <w:jc w:val="right"/>
              <w:rPr>
                <w:rFonts w:asciiTheme="minorHAnsi" w:hAnsiTheme="minorHAnsi" w:cstheme="minorHAnsi"/>
                <w:b/>
                <w:bCs/>
                <w:sz w:val="22"/>
                <w:szCs w:val="22"/>
              </w:rPr>
            </w:pPr>
          </w:p>
          <w:p w14:paraId="49F5A57B" w14:textId="77777777" w:rsidR="00F3329E" w:rsidRPr="00F3329E" w:rsidRDefault="00BC1208" w:rsidP="00F3329E">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81" w:type="dxa"/>
            <w:vMerge w:val="restart"/>
            <w:shd w:val="clear" w:color="auto" w:fill="D9E2F3" w:themeFill="accent1" w:themeFillTint="33"/>
          </w:tcPr>
          <w:p w14:paraId="58F8F702" w14:textId="77777777" w:rsidR="00F3329E" w:rsidRDefault="00D35F8D" w:rsidP="00F3329E">
            <w:pPr>
              <w:jc w:val="center"/>
              <w:rPr>
                <w:rFonts w:asciiTheme="minorHAnsi" w:hAnsiTheme="minorHAnsi" w:cstheme="minorHAnsi"/>
                <w:b/>
                <w:bCs/>
                <w:sz w:val="22"/>
                <w:szCs w:val="22"/>
              </w:rPr>
            </w:pPr>
          </w:p>
          <w:p w14:paraId="25717200" w14:textId="3996604B" w:rsidR="00F3329E"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p>
        </w:tc>
        <w:tc>
          <w:tcPr>
            <w:tcW w:w="1756" w:type="dxa"/>
            <w:shd w:val="clear" w:color="auto" w:fill="D9E2F3" w:themeFill="accent1" w:themeFillTint="33"/>
          </w:tcPr>
          <w:p w14:paraId="6FDA2D15" w14:textId="7C3C03F9" w:rsidR="00F3329E"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Intakes per Annum</w:t>
            </w:r>
          </w:p>
        </w:tc>
        <w:tc>
          <w:tcPr>
            <w:tcW w:w="2636" w:type="dxa"/>
            <w:gridSpan w:val="2"/>
            <w:shd w:val="clear" w:color="auto" w:fill="D9E2F3" w:themeFill="accent1" w:themeFillTint="33"/>
          </w:tcPr>
          <w:p w14:paraId="200070D2" w14:textId="3DE2A094" w:rsidR="00F3329E"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Enrolment </w:t>
            </w:r>
            <w:r w:rsidR="003B1AB7" w:rsidRPr="00F3329E">
              <w:rPr>
                <w:rFonts w:asciiTheme="minorHAnsi" w:hAnsiTheme="minorHAnsi" w:cstheme="minorHAnsi"/>
                <w:b/>
                <w:bCs/>
                <w:sz w:val="22"/>
                <w:szCs w:val="22"/>
              </w:rPr>
              <w:t>i.e.,</w:t>
            </w:r>
            <w:r w:rsidRPr="00F3329E">
              <w:rPr>
                <w:rFonts w:asciiTheme="minorHAnsi" w:hAnsiTheme="minorHAnsi" w:cstheme="minorHAnsi"/>
                <w:b/>
                <w:bCs/>
                <w:sz w:val="22"/>
                <w:szCs w:val="22"/>
              </w:rPr>
              <w:t xml:space="preserve"> learners per Intake</w:t>
            </w:r>
          </w:p>
        </w:tc>
      </w:tr>
      <w:tr w:rsidR="00F3329E" w:rsidRPr="00F3329E" w14:paraId="542AFF42" w14:textId="77777777" w:rsidTr="0048373B">
        <w:tc>
          <w:tcPr>
            <w:tcW w:w="1271" w:type="dxa"/>
            <w:vMerge/>
            <w:shd w:val="clear" w:color="auto" w:fill="D9E2F3" w:themeFill="accent1" w:themeFillTint="33"/>
          </w:tcPr>
          <w:p w14:paraId="10570990" w14:textId="77777777" w:rsidR="00F3329E" w:rsidRPr="00F3329E" w:rsidRDefault="00D35F8D" w:rsidP="00F3329E">
            <w:pPr>
              <w:jc w:val="center"/>
              <w:rPr>
                <w:rFonts w:asciiTheme="minorHAnsi" w:hAnsiTheme="minorHAnsi" w:cstheme="minorHAnsi"/>
                <w:b/>
                <w:bCs/>
                <w:sz w:val="22"/>
                <w:szCs w:val="22"/>
              </w:rPr>
            </w:pPr>
          </w:p>
        </w:tc>
        <w:tc>
          <w:tcPr>
            <w:tcW w:w="1672" w:type="dxa"/>
            <w:vMerge/>
            <w:shd w:val="clear" w:color="auto" w:fill="D9E2F3" w:themeFill="accent1" w:themeFillTint="33"/>
          </w:tcPr>
          <w:p w14:paraId="761687D7" w14:textId="77777777" w:rsidR="00F3329E" w:rsidRPr="00F3329E" w:rsidRDefault="00D35F8D" w:rsidP="00F3329E">
            <w:pPr>
              <w:jc w:val="center"/>
              <w:rPr>
                <w:rFonts w:asciiTheme="minorHAnsi" w:hAnsiTheme="minorHAnsi" w:cstheme="minorHAnsi"/>
                <w:b/>
                <w:bCs/>
                <w:sz w:val="22"/>
                <w:szCs w:val="22"/>
              </w:rPr>
            </w:pPr>
          </w:p>
        </w:tc>
        <w:tc>
          <w:tcPr>
            <w:tcW w:w="1681" w:type="dxa"/>
            <w:vMerge/>
            <w:shd w:val="clear" w:color="auto" w:fill="D9E2F3" w:themeFill="accent1" w:themeFillTint="33"/>
          </w:tcPr>
          <w:p w14:paraId="0B75AA5A" w14:textId="77777777" w:rsidR="00F3329E" w:rsidRPr="00F3329E" w:rsidRDefault="00D35F8D" w:rsidP="00F3329E">
            <w:pPr>
              <w:jc w:val="center"/>
              <w:rPr>
                <w:rFonts w:asciiTheme="minorHAnsi" w:hAnsiTheme="minorHAnsi" w:cstheme="minorHAnsi"/>
                <w:b/>
                <w:bCs/>
                <w:sz w:val="22"/>
                <w:szCs w:val="22"/>
              </w:rPr>
            </w:pPr>
          </w:p>
        </w:tc>
        <w:tc>
          <w:tcPr>
            <w:tcW w:w="1756" w:type="dxa"/>
            <w:shd w:val="clear" w:color="auto" w:fill="D9E2F3" w:themeFill="accent1" w:themeFillTint="33"/>
          </w:tcPr>
          <w:p w14:paraId="59663B97" w14:textId="0C2F3E4C" w:rsidR="00F3329E"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488" w:type="dxa"/>
            <w:shd w:val="clear" w:color="auto" w:fill="D9E2F3" w:themeFill="accent1" w:themeFillTint="33"/>
          </w:tcPr>
          <w:p w14:paraId="4208ECB1" w14:textId="77777777" w:rsidR="00F3329E"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148" w:type="dxa"/>
            <w:shd w:val="clear" w:color="auto" w:fill="D9E2F3" w:themeFill="accent1" w:themeFillTint="33"/>
          </w:tcPr>
          <w:p w14:paraId="6B6D1E29" w14:textId="77777777" w:rsidR="00F3329E"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F3329E" w:rsidRPr="0048373B" w14:paraId="5EA01830" w14:textId="77777777" w:rsidTr="0048373B">
        <w:tc>
          <w:tcPr>
            <w:tcW w:w="1271" w:type="dxa"/>
          </w:tcPr>
          <w:p w14:paraId="108F6444" w14:textId="77777777" w:rsidR="00F3329E" w:rsidRPr="0048373B" w:rsidRDefault="00BC1208" w:rsidP="00F3329E">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72" w:type="dxa"/>
          </w:tcPr>
          <w:p w14:paraId="68063DA6" w14:textId="6BAA0674" w:rsidR="00F3329E" w:rsidRPr="0048373B" w:rsidRDefault="000858BD" w:rsidP="00F3329E">
            <w:pPr>
              <w:jc w:val="center"/>
              <w:rPr>
                <w:rFonts w:asciiTheme="minorHAnsi" w:hAnsiTheme="minorHAnsi" w:cstheme="minorHAnsi"/>
                <w:sz w:val="22"/>
                <w:szCs w:val="22"/>
              </w:rPr>
            </w:pPr>
            <w:r>
              <w:rPr>
                <w:rFonts w:asciiTheme="minorHAnsi" w:hAnsiTheme="minorHAnsi" w:cstheme="minorHAnsi"/>
                <w:sz w:val="22"/>
                <w:szCs w:val="22"/>
              </w:rPr>
              <w:t>September 2022</w:t>
            </w:r>
          </w:p>
        </w:tc>
        <w:tc>
          <w:tcPr>
            <w:tcW w:w="1681" w:type="dxa"/>
          </w:tcPr>
          <w:p w14:paraId="0A3F57CC" w14:textId="3DC0AEB7" w:rsidR="00F3329E" w:rsidRPr="0048373B" w:rsidRDefault="003B1AB7" w:rsidP="00F3329E">
            <w:pPr>
              <w:jc w:val="center"/>
              <w:rPr>
                <w:rFonts w:asciiTheme="minorHAnsi" w:hAnsiTheme="minorHAnsi" w:cstheme="minorHAnsi"/>
                <w:sz w:val="22"/>
                <w:szCs w:val="22"/>
              </w:rPr>
            </w:pPr>
            <w:r>
              <w:rPr>
                <w:rFonts w:asciiTheme="minorHAnsi" w:hAnsiTheme="minorHAnsi" w:cstheme="minorHAnsi"/>
                <w:sz w:val="22"/>
                <w:szCs w:val="22"/>
              </w:rPr>
              <w:t>1-year</w:t>
            </w:r>
            <w:r w:rsidR="00793080">
              <w:rPr>
                <w:rFonts w:asciiTheme="minorHAnsi" w:hAnsiTheme="minorHAnsi" w:cstheme="minorHAnsi"/>
                <w:sz w:val="22"/>
                <w:szCs w:val="22"/>
              </w:rPr>
              <w:t>,</w:t>
            </w:r>
            <w:r w:rsidR="000858BD">
              <w:rPr>
                <w:rFonts w:asciiTheme="minorHAnsi" w:hAnsiTheme="minorHAnsi" w:cstheme="minorHAnsi"/>
                <w:sz w:val="22"/>
                <w:szCs w:val="22"/>
              </w:rPr>
              <w:t xml:space="preserve"> full time</w:t>
            </w:r>
          </w:p>
        </w:tc>
        <w:tc>
          <w:tcPr>
            <w:tcW w:w="1756" w:type="dxa"/>
          </w:tcPr>
          <w:p w14:paraId="5277E4F1" w14:textId="4D393006" w:rsidR="00F3329E" w:rsidRPr="0048373B" w:rsidRDefault="000858BD" w:rsidP="00F3329E">
            <w:pPr>
              <w:jc w:val="center"/>
              <w:rPr>
                <w:rFonts w:asciiTheme="minorHAnsi" w:hAnsiTheme="minorHAnsi" w:cstheme="minorHAnsi"/>
                <w:sz w:val="22"/>
                <w:szCs w:val="22"/>
              </w:rPr>
            </w:pPr>
            <w:r>
              <w:rPr>
                <w:rFonts w:asciiTheme="minorHAnsi" w:hAnsiTheme="minorHAnsi" w:cstheme="minorHAnsi"/>
                <w:sz w:val="22"/>
                <w:szCs w:val="22"/>
              </w:rPr>
              <w:t>2</w:t>
            </w:r>
          </w:p>
        </w:tc>
        <w:tc>
          <w:tcPr>
            <w:tcW w:w="1488" w:type="dxa"/>
          </w:tcPr>
          <w:p w14:paraId="5C96D102" w14:textId="50D4713C" w:rsidR="00F3329E" w:rsidRPr="0048373B" w:rsidRDefault="00793080" w:rsidP="00F3329E">
            <w:pPr>
              <w:jc w:val="center"/>
              <w:rPr>
                <w:rFonts w:asciiTheme="minorHAnsi" w:hAnsiTheme="minorHAnsi" w:cstheme="minorHAnsi"/>
                <w:sz w:val="22"/>
                <w:szCs w:val="22"/>
              </w:rPr>
            </w:pPr>
            <w:r>
              <w:rPr>
                <w:rFonts w:asciiTheme="minorHAnsi" w:hAnsiTheme="minorHAnsi" w:cstheme="minorHAnsi"/>
                <w:sz w:val="22"/>
                <w:szCs w:val="22"/>
              </w:rPr>
              <w:t>5</w:t>
            </w:r>
          </w:p>
        </w:tc>
        <w:tc>
          <w:tcPr>
            <w:tcW w:w="1148" w:type="dxa"/>
          </w:tcPr>
          <w:p w14:paraId="20DD234E" w14:textId="4D3AF2C2" w:rsidR="00F3329E" w:rsidRPr="0048373B" w:rsidRDefault="00793080" w:rsidP="00F3329E">
            <w:pPr>
              <w:jc w:val="center"/>
              <w:rPr>
                <w:rFonts w:asciiTheme="minorHAnsi" w:hAnsiTheme="minorHAnsi" w:cstheme="minorHAnsi"/>
                <w:sz w:val="22"/>
                <w:szCs w:val="22"/>
              </w:rPr>
            </w:pPr>
            <w:r>
              <w:rPr>
                <w:rFonts w:asciiTheme="minorHAnsi" w:hAnsiTheme="minorHAnsi" w:cstheme="minorHAnsi"/>
                <w:sz w:val="22"/>
                <w:szCs w:val="22"/>
              </w:rPr>
              <w:t>50</w:t>
            </w:r>
          </w:p>
        </w:tc>
      </w:tr>
      <w:tr w:rsidR="00F3329E" w:rsidRPr="0048373B" w14:paraId="59786127" w14:textId="77777777" w:rsidTr="0048373B">
        <w:tc>
          <w:tcPr>
            <w:tcW w:w="1271" w:type="dxa"/>
          </w:tcPr>
          <w:p w14:paraId="3ECCD3C3" w14:textId="77777777" w:rsidR="00F3329E" w:rsidRPr="0048373B" w:rsidRDefault="00BC1208" w:rsidP="00F3329E">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72" w:type="dxa"/>
          </w:tcPr>
          <w:p w14:paraId="52E4B003" w14:textId="70F58265" w:rsidR="00F3329E" w:rsidRPr="0048373B" w:rsidRDefault="000858BD" w:rsidP="00F3329E">
            <w:pPr>
              <w:jc w:val="center"/>
              <w:rPr>
                <w:rFonts w:asciiTheme="minorHAnsi" w:hAnsiTheme="minorHAnsi" w:cstheme="minorHAnsi"/>
                <w:sz w:val="22"/>
                <w:szCs w:val="22"/>
              </w:rPr>
            </w:pPr>
            <w:r>
              <w:rPr>
                <w:rFonts w:asciiTheme="minorHAnsi" w:hAnsiTheme="minorHAnsi" w:cstheme="minorHAnsi"/>
                <w:sz w:val="22"/>
                <w:szCs w:val="22"/>
              </w:rPr>
              <w:t>September 2022</w:t>
            </w:r>
          </w:p>
        </w:tc>
        <w:tc>
          <w:tcPr>
            <w:tcW w:w="1681" w:type="dxa"/>
          </w:tcPr>
          <w:p w14:paraId="20824FF9" w14:textId="71E65FD7" w:rsidR="00F3329E" w:rsidRPr="0048373B" w:rsidRDefault="000858BD" w:rsidP="00F3329E">
            <w:pPr>
              <w:jc w:val="center"/>
              <w:rPr>
                <w:rFonts w:asciiTheme="minorHAnsi" w:hAnsiTheme="minorHAnsi" w:cstheme="minorHAnsi"/>
                <w:sz w:val="22"/>
                <w:szCs w:val="22"/>
              </w:rPr>
            </w:pPr>
            <w:r>
              <w:rPr>
                <w:rFonts w:asciiTheme="minorHAnsi" w:hAnsiTheme="minorHAnsi" w:cstheme="minorHAnsi"/>
                <w:sz w:val="22"/>
                <w:szCs w:val="22"/>
              </w:rPr>
              <w:t>2 years, part-time</w:t>
            </w:r>
          </w:p>
        </w:tc>
        <w:tc>
          <w:tcPr>
            <w:tcW w:w="1756" w:type="dxa"/>
          </w:tcPr>
          <w:p w14:paraId="2A414A91" w14:textId="697FD1BE" w:rsidR="00F3329E" w:rsidRPr="0048373B" w:rsidRDefault="00793080" w:rsidP="00F3329E">
            <w:pPr>
              <w:jc w:val="center"/>
              <w:rPr>
                <w:rFonts w:asciiTheme="minorHAnsi" w:hAnsiTheme="minorHAnsi" w:cstheme="minorHAnsi"/>
                <w:sz w:val="22"/>
                <w:szCs w:val="22"/>
              </w:rPr>
            </w:pPr>
            <w:r>
              <w:rPr>
                <w:rFonts w:asciiTheme="minorHAnsi" w:hAnsiTheme="minorHAnsi" w:cstheme="minorHAnsi"/>
                <w:sz w:val="22"/>
                <w:szCs w:val="22"/>
              </w:rPr>
              <w:t>2</w:t>
            </w:r>
          </w:p>
        </w:tc>
        <w:tc>
          <w:tcPr>
            <w:tcW w:w="1488" w:type="dxa"/>
          </w:tcPr>
          <w:p w14:paraId="25D67099" w14:textId="679E6673" w:rsidR="00F3329E" w:rsidRPr="0048373B" w:rsidRDefault="00793080" w:rsidP="00F3329E">
            <w:pPr>
              <w:jc w:val="center"/>
              <w:rPr>
                <w:rFonts w:asciiTheme="minorHAnsi" w:hAnsiTheme="minorHAnsi" w:cstheme="minorHAnsi"/>
                <w:sz w:val="22"/>
                <w:szCs w:val="22"/>
              </w:rPr>
            </w:pPr>
            <w:r>
              <w:rPr>
                <w:rFonts w:asciiTheme="minorHAnsi" w:hAnsiTheme="minorHAnsi" w:cstheme="minorHAnsi"/>
                <w:sz w:val="22"/>
                <w:szCs w:val="22"/>
              </w:rPr>
              <w:t>5</w:t>
            </w:r>
          </w:p>
        </w:tc>
        <w:tc>
          <w:tcPr>
            <w:tcW w:w="1148" w:type="dxa"/>
          </w:tcPr>
          <w:p w14:paraId="2EAA61D8" w14:textId="54C4E015" w:rsidR="00F3329E" w:rsidRPr="0048373B" w:rsidRDefault="00793080" w:rsidP="00F3329E">
            <w:pPr>
              <w:jc w:val="center"/>
              <w:rPr>
                <w:rFonts w:asciiTheme="minorHAnsi" w:hAnsiTheme="minorHAnsi" w:cstheme="minorHAnsi"/>
                <w:sz w:val="22"/>
                <w:szCs w:val="22"/>
              </w:rPr>
            </w:pPr>
            <w:r>
              <w:rPr>
                <w:rFonts w:asciiTheme="minorHAnsi" w:hAnsiTheme="minorHAnsi" w:cstheme="minorHAnsi"/>
                <w:sz w:val="22"/>
                <w:szCs w:val="22"/>
              </w:rPr>
              <w:t>50</w:t>
            </w:r>
          </w:p>
        </w:tc>
      </w:tr>
      <w:tr w:rsidR="0048373B" w:rsidRPr="0048373B" w14:paraId="27E2C068" w14:textId="77777777" w:rsidTr="0048373B">
        <w:tc>
          <w:tcPr>
            <w:tcW w:w="2943" w:type="dxa"/>
            <w:gridSpan w:val="2"/>
          </w:tcPr>
          <w:p w14:paraId="71011206" w14:textId="590805D7" w:rsidR="0048373B" w:rsidRPr="0048373B" w:rsidRDefault="0048373B" w:rsidP="0048373B">
            <w:pPr>
              <w:rPr>
                <w:rFonts w:asciiTheme="minorHAnsi" w:hAnsiTheme="minorHAnsi" w:cstheme="minorHAnsi"/>
              </w:rPr>
            </w:pPr>
            <w:r w:rsidRPr="0048373B">
              <w:rPr>
                <w:rFonts w:asciiTheme="minorHAnsi" w:hAnsiTheme="minorHAnsi" w:cstheme="minorHAnsi"/>
                <w:b/>
                <w:bCs/>
                <w:sz w:val="22"/>
                <w:szCs w:val="22"/>
              </w:rPr>
              <w:t>Intake Schedule</w:t>
            </w:r>
            <w:r w:rsidRPr="0048373B">
              <w:rPr>
                <w:rFonts w:asciiTheme="minorHAnsi" w:hAnsiTheme="minorHAnsi" w:cstheme="minorHAnsi"/>
              </w:rPr>
              <w:t xml:space="preserve"> </w:t>
            </w:r>
            <w:r w:rsidR="003B1AB7" w:rsidRPr="0048373B">
              <w:rPr>
                <w:rFonts w:asciiTheme="minorHAnsi" w:hAnsiTheme="minorHAnsi" w:cstheme="minorHAnsi"/>
              </w:rPr>
              <w:t>e.g.,</w:t>
            </w:r>
            <w:r w:rsidRPr="0048373B">
              <w:rPr>
                <w:rFonts w:asciiTheme="minorHAnsi" w:hAnsiTheme="minorHAnsi" w:cstheme="minorHAnsi"/>
              </w:rPr>
              <w:t xml:space="preserve"> January September</w:t>
            </w:r>
          </w:p>
        </w:tc>
        <w:tc>
          <w:tcPr>
            <w:tcW w:w="6073" w:type="dxa"/>
            <w:gridSpan w:val="4"/>
          </w:tcPr>
          <w:p w14:paraId="5608BA5F" w14:textId="60B99EC7" w:rsidR="0048373B" w:rsidRPr="0048373B" w:rsidRDefault="00793080" w:rsidP="00F3329E">
            <w:pPr>
              <w:jc w:val="center"/>
              <w:rPr>
                <w:rFonts w:asciiTheme="minorHAnsi" w:hAnsiTheme="minorHAnsi" w:cstheme="minorHAnsi"/>
              </w:rPr>
            </w:pPr>
            <w:r>
              <w:rPr>
                <w:rFonts w:asciiTheme="minorHAnsi" w:hAnsiTheme="minorHAnsi" w:cstheme="minorHAnsi"/>
              </w:rPr>
              <w:t>September, January</w:t>
            </w:r>
          </w:p>
        </w:tc>
      </w:tr>
    </w:tbl>
    <w:p w14:paraId="019229F8" w14:textId="5F60BAB3" w:rsidR="00F3329E" w:rsidRDefault="00D35F8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39F29ADE" w14:textId="77777777" w:rsidTr="00302DC7">
        <w:tc>
          <w:tcPr>
            <w:tcW w:w="9072" w:type="dxa"/>
            <w:shd w:val="clear" w:color="auto" w:fill="auto"/>
          </w:tcPr>
          <w:p w14:paraId="79666842" w14:textId="77777777" w:rsidR="00F060AB" w:rsidRPr="003546AE" w:rsidRDefault="00BC1208" w:rsidP="00302DC7">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77777777" w:rsidR="00F060AB" w:rsidRPr="003546AE" w:rsidRDefault="00D35F8D" w:rsidP="00302DC7">
            <w:pPr>
              <w:spacing w:line="240" w:lineRule="auto"/>
              <w:rPr>
                <w:rFonts w:eastAsia="Times New Roman" w:cstheme="minorHAnsi"/>
                <w:bCs/>
              </w:rPr>
            </w:pPr>
          </w:p>
          <w:p w14:paraId="5B1EC175" w14:textId="77777777" w:rsidR="00F060AB" w:rsidRPr="003546AE" w:rsidRDefault="00D35F8D" w:rsidP="00302DC7">
            <w:pPr>
              <w:spacing w:line="240" w:lineRule="auto"/>
              <w:rPr>
                <w:rFonts w:eastAsia="Times New Roman" w:cstheme="minorHAnsi"/>
                <w:bCs/>
              </w:rPr>
            </w:pPr>
          </w:p>
          <w:p w14:paraId="45F0978B" w14:textId="77777777" w:rsidR="00F060AB" w:rsidRPr="003546AE" w:rsidRDefault="00D35F8D" w:rsidP="00302DC7">
            <w:pPr>
              <w:spacing w:line="240" w:lineRule="auto"/>
              <w:rPr>
                <w:rFonts w:eastAsia="Times New Roman" w:cstheme="minorHAnsi"/>
                <w:bCs/>
              </w:rPr>
            </w:pPr>
          </w:p>
        </w:tc>
      </w:tr>
    </w:tbl>
    <w:p w14:paraId="21A26135" w14:textId="399ED5E1" w:rsidR="00F060AB" w:rsidRDefault="00D35F8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77229C" w:rsidRPr="003546AE" w14:paraId="44902565" w14:textId="77777777" w:rsidTr="0077229C">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0E891EBB" w:rsidR="0077229C" w:rsidRPr="0077229C" w:rsidRDefault="00BC1208" w:rsidP="00674627">
            <w:pPr>
              <w:spacing w:line="240" w:lineRule="auto"/>
              <w:rPr>
                <w:rFonts w:eastAsia="Times New Roman" w:cstheme="minorHAnsi"/>
                <w:b/>
              </w:rPr>
            </w:pPr>
            <w:r w:rsidRPr="003546AE">
              <w:rPr>
                <w:rFonts w:eastAsia="Times New Roman" w:cstheme="minorHAnsi"/>
                <w:b/>
              </w:rPr>
              <w:t xml:space="preserve">Brief synopsis of the programme </w:t>
            </w:r>
            <w:r w:rsidRPr="0077229C">
              <w:rPr>
                <w:rFonts w:eastAsia="Times New Roman" w:cstheme="minorHAnsi"/>
                <w:b/>
              </w:rPr>
              <w:t>(</w:t>
            </w:r>
            <w:r w:rsidR="003B1AB7" w:rsidRPr="0077229C">
              <w:rPr>
                <w:rFonts w:eastAsia="Times New Roman" w:cstheme="minorHAnsi"/>
                <w:b/>
              </w:rPr>
              <w:t>e.g.,</w:t>
            </w:r>
            <w:r w:rsidRPr="0077229C">
              <w:rPr>
                <w:rFonts w:eastAsia="Times New Roman" w:cstheme="minorHAnsi"/>
                <w:b/>
              </w:rPr>
              <w:t xml:space="preserve"> who it is for, what is it for, what is involved for learners, what it leads to.)</w:t>
            </w:r>
          </w:p>
        </w:tc>
      </w:tr>
      <w:tr w:rsidR="009D310B" w:rsidRPr="0077229C" w14:paraId="40933C9F" w14:textId="77777777" w:rsidTr="0077229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FAAE539" w14:textId="77777777" w:rsidR="009D310B" w:rsidRDefault="009D310B" w:rsidP="009D310B">
            <w:pPr>
              <w:jc w:val="both"/>
              <w:rPr>
                <w:rFonts w:ascii="Calibri" w:eastAsia="Calibri" w:hAnsi="Calibri" w:cs="Calibri"/>
              </w:rPr>
            </w:pPr>
            <w:r>
              <w:rPr>
                <w:rFonts w:ascii="Calibri" w:eastAsia="Calibri" w:hAnsi="Calibri" w:cs="Calibri"/>
                <w:color w:val="000000"/>
              </w:rPr>
              <w:t xml:space="preserve">The programme comprises 90 ECTS credits and can be completed in one academic year by full-time learners and two academic years by part-time learners. </w:t>
            </w:r>
            <w:r>
              <w:rPr>
                <w:rFonts w:ascii="Calibri" w:eastAsia="Calibri" w:hAnsi="Calibri" w:cs="Calibri"/>
              </w:rPr>
              <w:t xml:space="preserve">The overall aim of the programme is to provide learners with the theoretical background and practical skills to apply their psychological knowledge efficiently and productively to effect positive change in the world in the pursuit of health promotion and illness prevention. The programme covers a wide range of specialist topics that provide learners with the knowledge of theories and concepts relating to the contribution of psychological processes to health and illness and helps them understand how this knowledge can be applied in a variety of contemporary settings at individual, community and global levels. </w:t>
            </w:r>
          </w:p>
          <w:p w14:paraId="00D8BABA" w14:textId="03D36C49" w:rsidR="009D310B" w:rsidRDefault="009D310B" w:rsidP="009D310B">
            <w:pPr>
              <w:jc w:val="both"/>
              <w:rPr>
                <w:rFonts w:ascii="Calibri" w:eastAsia="Calibri" w:hAnsi="Calibri" w:cs="Calibri"/>
              </w:rPr>
            </w:pPr>
            <w:r>
              <w:rPr>
                <w:rFonts w:ascii="Calibri" w:eastAsia="Calibri" w:hAnsi="Calibri" w:cs="Calibri"/>
              </w:rPr>
              <w:t>Learners will explore human behaviour from individual, social and biological perspectives and through a detailed understanding of the discipline, both theoretically and methodologically, will be enabled to assess appropriate interventions and design appropriate solutions for health</w:t>
            </w:r>
            <w:r w:rsidR="0095523F">
              <w:rPr>
                <w:rFonts w:ascii="Calibri" w:eastAsia="Calibri" w:hAnsi="Calibri" w:cs="Calibri"/>
              </w:rPr>
              <w:t>-</w:t>
            </w:r>
            <w:r w:rsidR="00EE428B">
              <w:rPr>
                <w:rFonts w:ascii="Calibri" w:eastAsia="Calibri" w:hAnsi="Calibri" w:cs="Calibri"/>
              </w:rPr>
              <w:t>related</w:t>
            </w:r>
            <w:r>
              <w:rPr>
                <w:rFonts w:ascii="Calibri" w:eastAsia="Calibri" w:hAnsi="Calibri" w:cs="Calibri"/>
              </w:rPr>
              <w:t xml:space="preserve"> needs. Modules focus on the applied nature of professional and ethical issues and advanced research methods</w:t>
            </w:r>
            <w:r w:rsidR="00EE428B">
              <w:rPr>
                <w:rFonts w:ascii="Calibri" w:eastAsia="Calibri" w:hAnsi="Calibri" w:cs="Calibri"/>
              </w:rPr>
              <w:t>,</w:t>
            </w:r>
            <w:r>
              <w:rPr>
                <w:rFonts w:ascii="Calibri" w:eastAsia="Calibri" w:hAnsi="Calibri" w:cs="Calibri"/>
              </w:rPr>
              <w:t xml:space="preserve"> while others have a specific focus upon the application of theory to the ‘real world’</w:t>
            </w:r>
            <w:r w:rsidR="00EE428B">
              <w:rPr>
                <w:rFonts w:ascii="Calibri" w:eastAsia="Calibri" w:hAnsi="Calibri" w:cs="Calibri"/>
              </w:rPr>
              <w:t>,</w:t>
            </w:r>
            <w:r>
              <w:rPr>
                <w:rFonts w:ascii="Calibri" w:eastAsia="Calibri" w:hAnsi="Calibri" w:cs="Calibri"/>
              </w:rPr>
              <w:t xml:space="preserve"> allowing learners to further develop and apply competencies and knowledge in Health Psychology. Finally, the programme offers a choice of elective capstone pathways (30 ECTS) that provides an opportunity for independent placement or research and the production of a placement project or research dissertation. Learners who complete the full programme will therefore also develop and enhance their research capability through critical enquiry and detailed analytical problem solving </w:t>
            </w:r>
            <w:r>
              <w:rPr>
                <w:rFonts w:ascii="Calibri" w:eastAsia="Calibri" w:hAnsi="Calibri" w:cs="Calibri"/>
                <w:color w:val="000000"/>
              </w:rPr>
              <w:t xml:space="preserve">from a solution-focussed "real-world" perspective. </w:t>
            </w:r>
          </w:p>
          <w:p w14:paraId="1CE3CB6C" w14:textId="3A61F7E7" w:rsidR="009D310B" w:rsidRDefault="009D310B" w:rsidP="009D310B">
            <w:pPr>
              <w:spacing w:line="240" w:lineRule="auto"/>
              <w:rPr>
                <w:rFonts w:ascii="Calibri" w:eastAsia="Calibri" w:hAnsi="Calibri" w:cs="Calibri"/>
                <w:color w:val="000000"/>
              </w:rPr>
            </w:pPr>
            <w:r>
              <w:rPr>
                <w:rFonts w:ascii="Calibri" w:eastAsia="Calibri" w:hAnsi="Calibri" w:cs="Calibri"/>
                <w:color w:val="000000"/>
              </w:rPr>
              <w:t>Through</w:t>
            </w:r>
            <w:r w:rsidR="00EE428B">
              <w:rPr>
                <w:rFonts w:ascii="Calibri" w:eastAsia="Calibri" w:hAnsi="Calibri" w:cs="Calibri"/>
                <w:color w:val="000000"/>
              </w:rPr>
              <w:t>out</w:t>
            </w:r>
            <w:r>
              <w:rPr>
                <w:rFonts w:ascii="Calibri" w:eastAsia="Calibri" w:hAnsi="Calibri" w:cs="Calibri"/>
                <w:color w:val="000000"/>
              </w:rPr>
              <w:t xml:space="preserve"> this programme, learners will develop discipline specific knowledge and as well as transversal skills </w:t>
            </w:r>
            <w:r w:rsidR="00EE428B">
              <w:rPr>
                <w:rFonts w:ascii="Calibri" w:eastAsia="Calibri" w:hAnsi="Calibri" w:cs="Calibri"/>
                <w:color w:val="000000"/>
              </w:rPr>
              <w:t xml:space="preserve">in </w:t>
            </w:r>
            <w:r>
              <w:rPr>
                <w:rFonts w:ascii="Calibri" w:eastAsia="Calibri" w:hAnsi="Calibri" w:cs="Calibri"/>
                <w:color w:val="000000"/>
              </w:rPr>
              <w:t xml:space="preserve">communication, teamwork, leadership and digital literacy. This makes </w:t>
            </w:r>
            <w:r w:rsidR="00EE428B">
              <w:rPr>
                <w:rFonts w:ascii="Calibri" w:eastAsia="Calibri" w:hAnsi="Calibri" w:cs="Calibri"/>
                <w:color w:val="000000"/>
              </w:rPr>
              <w:t xml:space="preserve">graduates </w:t>
            </w:r>
            <w:r>
              <w:rPr>
                <w:rFonts w:ascii="Calibri" w:eastAsia="Calibri" w:hAnsi="Calibri" w:cs="Calibri"/>
                <w:color w:val="000000"/>
              </w:rPr>
              <w:t xml:space="preserve">appropriate to progress into further postgraduate study </w:t>
            </w:r>
            <w:r w:rsidR="00EE428B">
              <w:rPr>
                <w:rFonts w:ascii="Calibri" w:eastAsia="Calibri" w:hAnsi="Calibri" w:cs="Calibri"/>
                <w:color w:val="000000"/>
              </w:rPr>
              <w:t xml:space="preserve">either </w:t>
            </w:r>
            <w:r>
              <w:rPr>
                <w:rFonts w:ascii="Calibri" w:eastAsia="Calibri" w:hAnsi="Calibri" w:cs="Calibri"/>
                <w:color w:val="000000"/>
              </w:rPr>
              <w:t xml:space="preserve">in Psychology in a range of specialisms, or </w:t>
            </w:r>
            <w:r w:rsidR="00EE428B">
              <w:rPr>
                <w:rFonts w:ascii="Calibri" w:eastAsia="Calibri" w:hAnsi="Calibri" w:cs="Calibri"/>
                <w:color w:val="000000"/>
              </w:rPr>
              <w:t xml:space="preserve">to </w:t>
            </w:r>
            <w:r>
              <w:rPr>
                <w:rFonts w:ascii="Calibri" w:eastAsia="Calibri" w:hAnsi="Calibri" w:cs="Calibri"/>
                <w:color w:val="000000"/>
              </w:rPr>
              <w:t xml:space="preserve">progress into the workplace in a range of cognate and </w:t>
            </w:r>
            <w:r>
              <w:rPr>
                <w:rFonts w:ascii="Calibri" w:eastAsia="Calibri" w:hAnsi="Calibri" w:cs="Calibri"/>
              </w:rPr>
              <w:t>non-cognate</w:t>
            </w:r>
            <w:r>
              <w:rPr>
                <w:rFonts w:ascii="Calibri" w:eastAsia="Calibri" w:hAnsi="Calibri" w:cs="Calibri"/>
                <w:color w:val="000000"/>
              </w:rPr>
              <w:t xml:space="preserve"> roles. </w:t>
            </w:r>
          </w:p>
          <w:p w14:paraId="777AE43F" w14:textId="7EE13F6E" w:rsidR="009D310B" w:rsidRPr="0077229C" w:rsidRDefault="009D310B" w:rsidP="009D310B">
            <w:pPr>
              <w:spacing w:line="240" w:lineRule="auto"/>
              <w:rPr>
                <w:rFonts w:eastAsia="Times New Roman" w:cstheme="minorHAnsi"/>
                <w:bCs/>
              </w:rPr>
            </w:pPr>
            <w:r>
              <w:rPr>
                <w:rFonts w:ascii="Calibri" w:eastAsia="Calibri" w:hAnsi="Calibri" w:cs="Calibri"/>
                <w:bCs/>
                <w:color w:val="000000"/>
              </w:rPr>
              <w:t>There is an embedded exit award, Postgraduate Diploma in Science in Health Psychology, for learners who do no progress to complete the capstone project but who have successfully completed all other modules.</w:t>
            </w:r>
          </w:p>
        </w:tc>
      </w:tr>
      <w:tr w:rsidR="009D310B" w:rsidRPr="003546AE" w14:paraId="562DA9D0" w14:textId="77777777" w:rsidTr="00302DC7">
        <w:tc>
          <w:tcPr>
            <w:tcW w:w="9072" w:type="dxa"/>
            <w:gridSpan w:val="2"/>
            <w:shd w:val="clear" w:color="auto" w:fill="D9E2F3" w:themeFill="accent1" w:themeFillTint="33"/>
          </w:tcPr>
          <w:p w14:paraId="2B2C1BA7" w14:textId="77777777" w:rsidR="009D310B" w:rsidRPr="003546AE" w:rsidRDefault="009D310B" w:rsidP="009D310B">
            <w:pPr>
              <w:spacing w:line="240" w:lineRule="auto"/>
              <w:rPr>
                <w:rFonts w:eastAsia="Times New Roman" w:cstheme="minorHAnsi"/>
              </w:rPr>
            </w:pPr>
            <w:r w:rsidRPr="003546AE">
              <w:rPr>
                <w:rFonts w:eastAsia="Times New Roman" w:cstheme="minorHAnsi"/>
                <w:b/>
              </w:rPr>
              <w:t>Target learner groups</w:t>
            </w:r>
          </w:p>
        </w:tc>
      </w:tr>
      <w:tr w:rsidR="009D310B" w:rsidRPr="003546AE" w14:paraId="3D77C4CE" w14:textId="77777777" w:rsidTr="00302DC7">
        <w:tc>
          <w:tcPr>
            <w:tcW w:w="9072" w:type="dxa"/>
            <w:gridSpan w:val="2"/>
            <w:shd w:val="clear" w:color="auto" w:fill="auto"/>
          </w:tcPr>
          <w:p w14:paraId="700F9250" w14:textId="580544DC" w:rsidR="009D310B" w:rsidRDefault="009D310B" w:rsidP="009D310B">
            <w:pPr>
              <w:jc w:val="both"/>
              <w:rPr>
                <w:rFonts w:ascii="Calibri" w:eastAsia="Calibri" w:hAnsi="Calibri" w:cs="Calibri"/>
              </w:rPr>
            </w:pPr>
            <w:r>
              <w:rPr>
                <w:rFonts w:ascii="Calibri" w:eastAsia="Calibri" w:hAnsi="Calibri" w:cs="Calibri"/>
              </w:rPr>
              <w:t>The Master of Science in Health Psychology is aimed at graduates of a Level 8 programme in Psychology such as a BA (Hons) in Psychology</w:t>
            </w:r>
            <w:r w:rsidR="00EA183A">
              <w:rPr>
                <w:rFonts w:ascii="Calibri" w:eastAsia="Calibri" w:hAnsi="Calibri" w:cs="Calibri"/>
              </w:rPr>
              <w:t xml:space="preserve"> </w:t>
            </w:r>
            <w:r>
              <w:rPr>
                <w:rFonts w:ascii="Calibri" w:eastAsia="Calibri" w:hAnsi="Calibri" w:cs="Calibri"/>
              </w:rPr>
              <w:t xml:space="preserve">who wish to engage in further study in this field, or who hope to enter careers </w:t>
            </w:r>
            <w:r w:rsidRPr="00673B48">
              <w:rPr>
                <w:rFonts w:eastAsia="Calibri" w:cstheme="minorHAnsi"/>
              </w:rPr>
              <w:t>in Health Psycholog</w:t>
            </w:r>
            <w:r w:rsidR="00DB7250" w:rsidRPr="00673B48">
              <w:rPr>
                <w:rFonts w:eastAsia="Calibri" w:cstheme="minorHAnsi"/>
              </w:rPr>
              <w:t xml:space="preserve">y related roles such as </w:t>
            </w:r>
            <w:r w:rsidR="00DB7250" w:rsidRPr="00B35DC5">
              <w:rPr>
                <w:rFonts w:eastAsia="Calibri" w:cstheme="minorHAnsi"/>
              </w:rPr>
              <w:t>Clinical Health Psychologist</w:t>
            </w:r>
            <w:r w:rsidRPr="00B35DC5">
              <w:rPr>
                <w:rFonts w:eastAsia="Calibri" w:cstheme="minorHAnsi"/>
              </w:rPr>
              <w:t>,</w:t>
            </w:r>
            <w:r w:rsidR="00DB7250" w:rsidRPr="00B35DC5">
              <w:rPr>
                <w:rFonts w:eastAsia="Calibri" w:cstheme="minorHAnsi"/>
              </w:rPr>
              <w:t xml:space="preserve"> </w:t>
            </w:r>
            <w:r w:rsidR="00DB7250" w:rsidRPr="00B35DC5">
              <w:rPr>
                <w:rFonts w:cstheme="minorHAnsi"/>
                <w:shd w:val="clear" w:color="auto" w:fill="FFFFFF"/>
              </w:rPr>
              <w:t>Public Health Advocate, Wellness Specialist, Health Researcher,</w:t>
            </w:r>
            <w:r w:rsidRPr="00B35DC5">
              <w:rPr>
                <w:rFonts w:ascii="Calibri" w:eastAsia="Calibri" w:hAnsi="Calibri" w:cs="Calibri"/>
              </w:rPr>
              <w:t xml:space="preserve"> or </w:t>
            </w:r>
            <w:r w:rsidR="00DB7250" w:rsidRPr="00B35DC5">
              <w:rPr>
                <w:rFonts w:ascii="Calibri" w:eastAsia="Calibri" w:hAnsi="Calibri" w:cs="Calibri"/>
              </w:rPr>
              <w:t>Educator</w:t>
            </w:r>
            <w:r w:rsidRPr="00B35DC5">
              <w:rPr>
                <w:rFonts w:ascii="Calibri" w:eastAsia="Calibri" w:hAnsi="Calibri" w:cs="Calibri"/>
              </w:rPr>
              <w:t xml:space="preserve">. Applicants are required to hold a minimum of an upper </w:t>
            </w:r>
            <w:r w:rsidR="003B1AB7" w:rsidRPr="00B35DC5">
              <w:rPr>
                <w:rFonts w:ascii="Calibri" w:eastAsia="Calibri" w:hAnsi="Calibri" w:cs="Calibri"/>
              </w:rPr>
              <w:t>Second-Class Honours</w:t>
            </w:r>
            <w:r w:rsidRPr="00B35DC5">
              <w:rPr>
                <w:rFonts w:ascii="Calibri" w:eastAsia="Calibri" w:hAnsi="Calibri" w:cs="Calibri"/>
              </w:rPr>
              <w:t xml:space="preserve"> degree in Psychology </w:t>
            </w:r>
            <w:r>
              <w:rPr>
                <w:rFonts w:ascii="Calibri" w:eastAsia="Calibri" w:hAnsi="Calibri" w:cs="Calibri"/>
              </w:rPr>
              <w:t xml:space="preserve">from a recognised University/College course, which confers eligibility for PSI membership or equivalent professional body in the case of overseas applicants. </w:t>
            </w:r>
          </w:p>
          <w:p w14:paraId="7146A012" w14:textId="5C4BCB80" w:rsidR="009D310B" w:rsidRPr="003546AE" w:rsidRDefault="009D310B" w:rsidP="009D310B">
            <w:pPr>
              <w:spacing w:line="240" w:lineRule="auto"/>
              <w:rPr>
                <w:rFonts w:eastAsia="Times New Roman" w:cstheme="minorHAnsi"/>
                <w:noProof/>
              </w:rPr>
            </w:pPr>
            <w:r>
              <w:rPr>
                <w:rFonts w:ascii="Calibri" w:eastAsia="Calibri" w:hAnsi="Calibri" w:cs="Calibri"/>
              </w:rPr>
              <w:t>Since the aim of this proposed programme is to provide learners with an insight into the field of Health Psychology, thus the learners are equipped with the competencies and skills to understand individual, organisational, social and cultural influences on behaviour in healt</w:t>
            </w:r>
            <w:r w:rsidR="009A01CD">
              <w:rPr>
                <w:rFonts w:ascii="Calibri" w:eastAsia="Calibri" w:hAnsi="Calibri" w:cs="Calibri"/>
              </w:rPr>
              <w:t>h-</w:t>
            </w:r>
            <w:r w:rsidR="00101559">
              <w:rPr>
                <w:rFonts w:ascii="Calibri" w:eastAsia="Calibri" w:hAnsi="Calibri" w:cs="Calibri"/>
              </w:rPr>
              <w:t>related</w:t>
            </w:r>
            <w:r>
              <w:rPr>
                <w:rFonts w:ascii="Calibri" w:eastAsia="Calibri" w:hAnsi="Calibri" w:cs="Calibri"/>
              </w:rPr>
              <w:t xml:space="preserve"> settings. They will be relating theory to practical applications in terms of health promotion. Additionally, the programme encourages initiative and originality in research and learners make a significant contribution to their knowledge of Psychology in developing competency to carry out research in their chosen area. Upon completion of the programme learners are therefore able to competently investigate contemporary local and global issues in the area of health promotion or the prevention of illness and design solutions to match.  More specifically, the programme prepares learners who are intending to pursue a career in which the skills and competencies developed within the programme are necessary or beneficial.  As such, the programme provides preparatory training for those intending to apply for other more specialised postgraduate professional courses in Psychology by bringing them to the point of sufficient knowledge, know-how and skills and competence to match those of a graduate of award Level 9 through introduction to the advanced theoretical elements of Health Psychology. In doing so, the programme also enhances opportunities for learners to enter or progress their careers in a variety of professions in the public and private sectors through the development of evidence-based skills in specific methodological, statistical, measurement and other empirical techniques required by industry.</w:t>
            </w:r>
          </w:p>
        </w:tc>
      </w:tr>
      <w:tr w:rsidR="009D310B" w:rsidRPr="003546AE" w14:paraId="1FF2A0A7" w14:textId="77777777" w:rsidTr="00302DC7">
        <w:tc>
          <w:tcPr>
            <w:tcW w:w="4678" w:type="dxa"/>
            <w:shd w:val="clear" w:color="auto" w:fill="D9E2F3" w:themeFill="accent1" w:themeFillTint="33"/>
          </w:tcPr>
          <w:p w14:paraId="36C5F85D" w14:textId="77777777" w:rsidR="009D310B" w:rsidRPr="003546AE" w:rsidRDefault="009D310B" w:rsidP="009D310B">
            <w:pPr>
              <w:spacing w:line="240" w:lineRule="auto"/>
              <w:rPr>
                <w:rFonts w:eastAsia="Times New Roman" w:cstheme="minorHAnsi"/>
                <w:b/>
              </w:rPr>
            </w:pPr>
            <w:r w:rsidRPr="003546AE">
              <w:rPr>
                <w:rFonts w:eastAsia="Times New Roman" w:cstheme="minorHAnsi"/>
                <w:b/>
              </w:rPr>
              <w:t>Approved countries for provision</w:t>
            </w:r>
          </w:p>
        </w:tc>
        <w:tc>
          <w:tcPr>
            <w:tcW w:w="4394" w:type="dxa"/>
          </w:tcPr>
          <w:p w14:paraId="63D5E658" w14:textId="56980579" w:rsidR="009D310B" w:rsidRPr="003546AE" w:rsidRDefault="009D310B" w:rsidP="009D310B">
            <w:pPr>
              <w:spacing w:line="240" w:lineRule="auto"/>
              <w:rPr>
                <w:rFonts w:eastAsia="Times New Roman" w:cstheme="minorHAnsi"/>
              </w:rPr>
            </w:pPr>
            <w:r>
              <w:rPr>
                <w:rFonts w:eastAsia="Times New Roman" w:cstheme="minorHAnsi"/>
              </w:rPr>
              <w:t>Ireland</w:t>
            </w:r>
          </w:p>
        </w:tc>
      </w:tr>
      <w:tr w:rsidR="009D310B" w:rsidRPr="003546AE" w14:paraId="554DE292" w14:textId="77777777" w:rsidTr="00302DC7">
        <w:tc>
          <w:tcPr>
            <w:tcW w:w="4678" w:type="dxa"/>
            <w:shd w:val="clear" w:color="auto" w:fill="D9E2F3" w:themeFill="accent1" w:themeFillTint="33"/>
          </w:tcPr>
          <w:p w14:paraId="3A09E29C" w14:textId="77777777" w:rsidR="009D310B" w:rsidRPr="003546AE" w:rsidRDefault="009D310B" w:rsidP="009D310B">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tcPr>
          <w:p w14:paraId="28476080" w14:textId="7A1A82E9" w:rsidR="009D310B" w:rsidRPr="003546AE" w:rsidRDefault="009D310B" w:rsidP="009D310B">
            <w:pPr>
              <w:spacing w:line="240" w:lineRule="auto"/>
              <w:rPr>
                <w:rFonts w:eastAsia="Times New Roman" w:cstheme="minorHAnsi"/>
              </w:rPr>
            </w:pPr>
            <w:r>
              <w:rPr>
                <w:rFonts w:eastAsia="Times New Roman" w:cstheme="minorHAnsi"/>
              </w:rPr>
              <w:t>Full-time, part-time</w:t>
            </w:r>
          </w:p>
        </w:tc>
      </w:tr>
    </w:tbl>
    <w:p w14:paraId="54AFE169" w14:textId="77777777" w:rsidR="00C971E3" w:rsidRDefault="00D35F8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9D310B" w14:paraId="5752DA01" w14:textId="77777777" w:rsidTr="009D310B">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FFB1BF" w14:textId="7387FDE3" w:rsidR="009D310B" w:rsidRPr="009D310B" w:rsidRDefault="009D310B" w:rsidP="009D310B">
            <w:pPr>
              <w:spacing w:after="0" w:line="240" w:lineRule="auto"/>
              <w:rPr>
                <w:rFonts w:eastAsia="Times New Roman" w:cstheme="minorHAnsi"/>
                <w:b/>
              </w:rPr>
            </w:pPr>
            <w:r>
              <w:rPr>
                <w:rFonts w:eastAsia="Times New Roman" w:cstheme="minorHAnsi"/>
                <w:b/>
              </w:rPr>
              <w:t>The</w:t>
            </w:r>
            <w:r w:rsidRPr="009D310B">
              <w:rPr>
                <w:rFonts w:eastAsia="Times New Roman" w:cstheme="minorHAnsi"/>
                <w:b/>
              </w:rPr>
              <w:t xml:space="preserve"> teaching and learning methodologies</w:t>
            </w:r>
            <w:r w:rsidRPr="009D310B">
              <w:rPr>
                <w:rFonts w:eastAsia="Times New Roman" w:cstheme="minorHAnsi"/>
                <w:b/>
              </w:rPr>
              <w:br/>
            </w:r>
          </w:p>
        </w:tc>
      </w:tr>
      <w:tr w:rsidR="009D310B" w14:paraId="62C79376"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0824E9A" w14:textId="77777777" w:rsidR="009D310B" w:rsidRDefault="009D310B" w:rsidP="00E87892">
            <w:pPr>
              <w:rPr>
                <w:rFonts w:ascii="Calibri" w:eastAsia="Calibri" w:hAnsi="Calibri" w:cs="Calibri"/>
                <w:b/>
                <w:color w:val="000000"/>
              </w:rPr>
            </w:pPr>
            <w:r>
              <w:rPr>
                <w:rFonts w:ascii="Calibri" w:eastAsia="Calibri" w:hAnsi="Calibri" w:cs="Calibri"/>
                <w:b/>
              </w:rPr>
              <w:t>Methodology / Learning 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20E358C" w14:textId="77777777" w:rsidR="009D310B" w:rsidRDefault="009D310B" w:rsidP="00E87892">
            <w:pPr>
              <w:rPr>
                <w:rFonts w:ascii="Calibri" w:eastAsia="Calibri" w:hAnsi="Calibri" w:cs="Calibri"/>
                <w:b/>
              </w:rPr>
            </w:pPr>
            <w:r>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cPr>
          <w:p w14:paraId="36292044" w14:textId="5BC32455" w:rsidR="009D310B" w:rsidRDefault="009D310B" w:rsidP="00E87892">
            <w:pPr>
              <w:rPr>
                <w:rFonts w:ascii="Calibri" w:eastAsia="Calibri" w:hAnsi="Calibri" w:cs="Calibri"/>
                <w:b/>
                <w:color w:val="000000"/>
              </w:rPr>
            </w:pPr>
            <w:r>
              <w:rPr>
                <w:rFonts w:ascii="Calibri" w:eastAsia="Calibri" w:hAnsi="Calibri" w:cs="Calibri"/>
                <w:b/>
                <w:color w:val="000000"/>
              </w:rPr>
              <w:t xml:space="preserve">Staff to Learner Ratio </w:t>
            </w:r>
            <w:r w:rsidR="003B1AB7">
              <w:rPr>
                <w:rFonts w:ascii="Calibri" w:eastAsia="Calibri" w:hAnsi="Calibri" w:cs="Calibri"/>
                <w:b/>
                <w:color w:val="000000"/>
              </w:rPr>
              <w:t>e.g.,</w:t>
            </w:r>
            <w:r>
              <w:rPr>
                <w:rFonts w:ascii="Calibri" w:eastAsia="Calibri" w:hAnsi="Calibri" w:cs="Calibri"/>
                <w:b/>
                <w:color w:val="000000"/>
              </w:rPr>
              <w:t xml:space="preserve"> 1:12</w:t>
            </w:r>
          </w:p>
        </w:tc>
      </w:tr>
      <w:tr w:rsidR="009D310B" w14:paraId="40515987"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D711001" w14:textId="77777777" w:rsidR="009D310B" w:rsidRDefault="009D310B" w:rsidP="00E87892">
            <w:pPr>
              <w:rPr>
                <w:rFonts w:ascii="Calibri" w:eastAsia="Calibri" w:hAnsi="Calibri" w:cs="Calibri"/>
                <w:color w:val="000000"/>
              </w:rPr>
            </w:pPr>
            <w:r>
              <w:rPr>
                <w:rFonts w:ascii="Calibri" w:eastAsia="Calibri" w:hAnsi="Calibri" w:cs="Calibri"/>
                <w:color w:val="000000"/>
              </w:rPr>
              <w:t>Lecture classroom-based sessions</w:t>
            </w:r>
          </w:p>
        </w:tc>
        <w:tc>
          <w:tcPr>
            <w:tcW w:w="3969" w:type="dxa"/>
            <w:tcBorders>
              <w:top w:val="single" w:sz="4" w:space="0" w:color="000000"/>
              <w:left w:val="single" w:sz="4" w:space="0" w:color="000000"/>
              <w:bottom w:val="single" w:sz="4" w:space="0" w:color="000000"/>
              <w:right w:val="single" w:sz="4" w:space="0" w:color="000000"/>
            </w:tcBorders>
          </w:tcPr>
          <w:p w14:paraId="157FACB0" w14:textId="77777777" w:rsidR="009D310B" w:rsidRDefault="009D310B" w:rsidP="00E87892">
            <w:pPr>
              <w:rPr>
                <w:rFonts w:ascii="Calibri" w:eastAsia="Calibri" w:hAnsi="Calibri" w:cs="Calibri"/>
              </w:rPr>
            </w:pPr>
            <w:r>
              <w:rPr>
                <w:rFonts w:ascii="Calibri" w:eastAsia="Calibri" w:hAnsi="Calibri" w:cs="Calibri"/>
              </w:rPr>
              <w:t>Face to face on site lecture-led classroom-based sessions</w:t>
            </w:r>
          </w:p>
        </w:tc>
        <w:tc>
          <w:tcPr>
            <w:tcW w:w="1842" w:type="dxa"/>
            <w:tcBorders>
              <w:top w:val="single" w:sz="4" w:space="0" w:color="000000"/>
              <w:left w:val="single" w:sz="4" w:space="0" w:color="000000"/>
              <w:bottom w:val="single" w:sz="4" w:space="0" w:color="000000"/>
              <w:right w:val="single" w:sz="4" w:space="0" w:color="000000"/>
            </w:tcBorders>
          </w:tcPr>
          <w:p w14:paraId="5E10A9DD" w14:textId="77777777" w:rsidR="009D310B" w:rsidRDefault="009D310B" w:rsidP="00E87892">
            <w:pPr>
              <w:rPr>
                <w:rFonts w:ascii="Calibri" w:eastAsia="Calibri" w:hAnsi="Calibri" w:cs="Calibri"/>
              </w:rPr>
            </w:pPr>
            <w:r>
              <w:rPr>
                <w:rFonts w:ascii="Calibri" w:eastAsia="Calibri" w:hAnsi="Calibri" w:cs="Calibri"/>
                <w:color w:val="000000"/>
              </w:rPr>
              <w:t>1:50</w:t>
            </w:r>
          </w:p>
        </w:tc>
      </w:tr>
      <w:tr w:rsidR="009D310B" w14:paraId="5510D41C"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BE46C82" w14:textId="77777777" w:rsidR="009D310B" w:rsidRDefault="009D310B" w:rsidP="00E87892">
            <w:pPr>
              <w:rPr>
                <w:rFonts w:ascii="Calibri" w:eastAsia="Calibri" w:hAnsi="Calibri" w:cs="Calibri"/>
                <w:color w:val="000000"/>
              </w:rPr>
            </w:pPr>
            <w:r>
              <w:rPr>
                <w:rFonts w:ascii="Calibri" w:eastAsia="Calibri" w:hAnsi="Calibri" w:cs="Calibri"/>
                <w:color w:val="000000"/>
              </w:rPr>
              <w:t xml:space="preserve">Workshops </w:t>
            </w:r>
          </w:p>
        </w:tc>
        <w:tc>
          <w:tcPr>
            <w:tcW w:w="3969" w:type="dxa"/>
            <w:tcBorders>
              <w:top w:val="single" w:sz="4" w:space="0" w:color="000000"/>
              <w:left w:val="single" w:sz="4" w:space="0" w:color="000000"/>
              <w:bottom w:val="single" w:sz="4" w:space="0" w:color="000000"/>
              <w:right w:val="single" w:sz="4" w:space="0" w:color="000000"/>
            </w:tcBorders>
          </w:tcPr>
          <w:p w14:paraId="5523703F" w14:textId="77777777" w:rsidR="009D310B" w:rsidRDefault="009D310B" w:rsidP="00E87892">
            <w:pPr>
              <w:rPr>
                <w:rFonts w:ascii="Calibri" w:eastAsia="Calibri" w:hAnsi="Calibri" w:cs="Calibri"/>
              </w:rPr>
            </w:pPr>
            <w:r>
              <w:rPr>
                <w:rFonts w:ascii="Calibri" w:eastAsia="Calibri" w:hAnsi="Calibri" w:cs="Calibri"/>
              </w:rPr>
              <w:t>Face to face on site workshops</w:t>
            </w:r>
          </w:p>
        </w:tc>
        <w:tc>
          <w:tcPr>
            <w:tcW w:w="1842" w:type="dxa"/>
            <w:tcBorders>
              <w:top w:val="single" w:sz="4" w:space="0" w:color="000000"/>
              <w:left w:val="single" w:sz="4" w:space="0" w:color="000000"/>
              <w:bottom w:val="single" w:sz="4" w:space="0" w:color="000000"/>
              <w:right w:val="single" w:sz="4" w:space="0" w:color="000000"/>
            </w:tcBorders>
          </w:tcPr>
          <w:p w14:paraId="4B96037E" w14:textId="77777777" w:rsidR="009D310B" w:rsidRDefault="009D310B" w:rsidP="00E87892">
            <w:pPr>
              <w:rPr>
                <w:rFonts w:ascii="Calibri" w:eastAsia="Calibri" w:hAnsi="Calibri" w:cs="Calibri"/>
              </w:rPr>
            </w:pPr>
            <w:r>
              <w:rPr>
                <w:rFonts w:ascii="Calibri" w:eastAsia="Calibri" w:hAnsi="Calibri" w:cs="Calibri"/>
                <w:color w:val="000000"/>
              </w:rPr>
              <w:t>1:25</w:t>
            </w:r>
          </w:p>
        </w:tc>
      </w:tr>
      <w:tr w:rsidR="009D310B" w14:paraId="367E4AB8"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1A62020" w14:textId="77777777" w:rsidR="009D310B" w:rsidRDefault="009D310B" w:rsidP="00E87892">
            <w:pPr>
              <w:rPr>
                <w:rFonts w:ascii="Calibri" w:eastAsia="Calibri" w:hAnsi="Calibri" w:cs="Calibri"/>
                <w:color w:val="000000"/>
              </w:rPr>
            </w:pPr>
            <w:r>
              <w:rPr>
                <w:rFonts w:ascii="Calibri" w:eastAsia="Calibri" w:hAnsi="Calibri" w:cs="Calibri"/>
                <w:color w:val="000000"/>
              </w:rPr>
              <w:t>Practical lab sessions</w:t>
            </w:r>
          </w:p>
        </w:tc>
        <w:tc>
          <w:tcPr>
            <w:tcW w:w="3969" w:type="dxa"/>
            <w:tcBorders>
              <w:top w:val="single" w:sz="4" w:space="0" w:color="000000"/>
              <w:left w:val="single" w:sz="4" w:space="0" w:color="000000"/>
              <w:bottom w:val="single" w:sz="4" w:space="0" w:color="000000"/>
              <w:right w:val="single" w:sz="4" w:space="0" w:color="000000"/>
            </w:tcBorders>
          </w:tcPr>
          <w:p w14:paraId="5D2B18F5" w14:textId="3E572EE8" w:rsidR="009D310B" w:rsidRDefault="009D310B" w:rsidP="00E87892">
            <w:pPr>
              <w:rPr>
                <w:rFonts w:ascii="Calibri" w:eastAsia="Calibri" w:hAnsi="Calibri" w:cs="Calibri"/>
              </w:rPr>
            </w:pPr>
            <w:r>
              <w:rPr>
                <w:rFonts w:ascii="Calibri" w:eastAsia="Calibri" w:hAnsi="Calibri" w:cs="Calibri"/>
              </w:rPr>
              <w:t xml:space="preserve">Practical </w:t>
            </w:r>
            <w:r w:rsidR="003B1AB7">
              <w:rPr>
                <w:rFonts w:ascii="Calibri" w:eastAsia="Calibri" w:hAnsi="Calibri" w:cs="Calibri"/>
              </w:rPr>
              <w:t>on-site</w:t>
            </w:r>
            <w:r>
              <w:rPr>
                <w:rFonts w:ascii="Calibri" w:eastAsia="Calibri" w:hAnsi="Calibri" w:cs="Calibri"/>
              </w:rPr>
              <w:t xml:space="preserve"> lab computer lab sessions</w:t>
            </w:r>
          </w:p>
        </w:tc>
        <w:tc>
          <w:tcPr>
            <w:tcW w:w="1842" w:type="dxa"/>
            <w:tcBorders>
              <w:top w:val="single" w:sz="4" w:space="0" w:color="000000"/>
              <w:left w:val="single" w:sz="4" w:space="0" w:color="000000"/>
              <w:bottom w:val="single" w:sz="4" w:space="0" w:color="000000"/>
              <w:right w:val="single" w:sz="4" w:space="0" w:color="000000"/>
            </w:tcBorders>
          </w:tcPr>
          <w:p w14:paraId="596944B9" w14:textId="77777777" w:rsidR="009D310B" w:rsidRDefault="009D310B" w:rsidP="00E87892">
            <w:pPr>
              <w:rPr>
                <w:rFonts w:ascii="Calibri" w:eastAsia="Calibri" w:hAnsi="Calibri" w:cs="Calibri"/>
              </w:rPr>
            </w:pPr>
            <w:r>
              <w:rPr>
                <w:rFonts w:ascii="Calibri" w:eastAsia="Calibri" w:hAnsi="Calibri" w:cs="Calibri"/>
                <w:color w:val="000000"/>
              </w:rPr>
              <w:t>1:35</w:t>
            </w:r>
          </w:p>
        </w:tc>
      </w:tr>
      <w:tr w:rsidR="009D310B" w14:paraId="384B5C94"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0542B2" w14:textId="77777777" w:rsidR="009D310B" w:rsidRDefault="009D310B" w:rsidP="00E87892">
            <w:pPr>
              <w:rPr>
                <w:rFonts w:ascii="Calibri" w:eastAsia="Calibri" w:hAnsi="Calibri" w:cs="Calibri"/>
                <w:color w:val="000000"/>
              </w:rPr>
            </w:pPr>
            <w:r>
              <w:rPr>
                <w:rFonts w:ascii="Calibri" w:eastAsia="Calibri" w:hAnsi="Calibri" w:cs="Calibri"/>
                <w:color w:val="000000"/>
              </w:rPr>
              <w:t>Online class (broadcast live)</w:t>
            </w:r>
          </w:p>
        </w:tc>
        <w:tc>
          <w:tcPr>
            <w:tcW w:w="3969" w:type="dxa"/>
            <w:tcBorders>
              <w:top w:val="single" w:sz="4" w:space="0" w:color="000000"/>
              <w:left w:val="single" w:sz="4" w:space="0" w:color="000000"/>
              <w:bottom w:val="single" w:sz="4" w:space="0" w:color="000000"/>
              <w:right w:val="single" w:sz="4" w:space="0" w:color="000000"/>
            </w:tcBorders>
          </w:tcPr>
          <w:p w14:paraId="32DC75F0" w14:textId="77777777" w:rsidR="009D310B" w:rsidRDefault="009D310B" w:rsidP="00E87892">
            <w:pPr>
              <w:rPr>
                <w:rFonts w:ascii="Calibri" w:eastAsia="Calibri" w:hAnsi="Calibri" w:cs="Calibri"/>
              </w:rPr>
            </w:pPr>
            <w:r>
              <w:rPr>
                <w:rFonts w:ascii="Calibri" w:eastAsia="Calibri" w:hAnsi="Calibri" w:cs="Calibri"/>
              </w:rPr>
              <w:t>Online class (broadcast live - non interactive transmission)</w:t>
            </w:r>
          </w:p>
        </w:tc>
        <w:tc>
          <w:tcPr>
            <w:tcW w:w="1842" w:type="dxa"/>
            <w:tcBorders>
              <w:top w:val="single" w:sz="4" w:space="0" w:color="000000"/>
              <w:left w:val="single" w:sz="4" w:space="0" w:color="000000"/>
              <w:bottom w:val="single" w:sz="4" w:space="0" w:color="000000"/>
              <w:right w:val="single" w:sz="4" w:space="0" w:color="000000"/>
            </w:tcBorders>
          </w:tcPr>
          <w:p w14:paraId="4EA558C5" w14:textId="77777777" w:rsidR="009D310B" w:rsidRDefault="009D310B" w:rsidP="00E87892">
            <w:pPr>
              <w:rPr>
                <w:rFonts w:ascii="Calibri" w:eastAsia="Calibri" w:hAnsi="Calibri" w:cs="Calibri"/>
              </w:rPr>
            </w:pPr>
            <w:r>
              <w:rPr>
                <w:rFonts w:ascii="Calibri" w:eastAsia="Calibri" w:hAnsi="Calibri" w:cs="Calibri"/>
                <w:color w:val="000000"/>
              </w:rPr>
              <w:t>1:50</w:t>
            </w:r>
          </w:p>
        </w:tc>
      </w:tr>
      <w:tr w:rsidR="009D310B" w14:paraId="105B8F11"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2B5988" w14:textId="77777777" w:rsidR="009D310B" w:rsidRDefault="009D310B" w:rsidP="00E87892">
            <w:pPr>
              <w:rPr>
                <w:rFonts w:ascii="Calibri" w:eastAsia="Calibri" w:hAnsi="Calibri" w:cs="Calibri"/>
                <w:color w:val="000000"/>
              </w:rPr>
            </w:pPr>
            <w:r>
              <w:rPr>
                <w:rFonts w:ascii="Calibri" w:eastAsia="Calibri" w:hAnsi="Calibri" w:cs="Calibri"/>
                <w:color w:val="000000"/>
              </w:rPr>
              <w:t>Online tutorial (interactive)</w:t>
            </w:r>
          </w:p>
        </w:tc>
        <w:tc>
          <w:tcPr>
            <w:tcW w:w="3969" w:type="dxa"/>
            <w:tcBorders>
              <w:top w:val="single" w:sz="4" w:space="0" w:color="000000"/>
              <w:left w:val="single" w:sz="4" w:space="0" w:color="000000"/>
              <w:bottom w:val="single" w:sz="4" w:space="0" w:color="000000"/>
              <w:right w:val="single" w:sz="4" w:space="0" w:color="000000"/>
            </w:tcBorders>
          </w:tcPr>
          <w:p w14:paraId="20167FFD" w14:textId="77777777" w:rsidR="009D310B" w:rsidRDefault="009D310B" w:rsidP="00E87892">
            <w:pPr>
              <w:rPr>
                <w:rFonts w:ascii="Calibri" w:eastAsia="Calibri" w:hAnsi="Calibri" w:cs="Calibri"/>
              </w:rPr>
            </w:pPr>
            <w:r>
              <w:rPr>
                <w:rFonts w:ascii="Calibri" w:eastAsia="Calibri" w:hAnsi="Calibri" w:cs="Calibri"/>
              </w:rPr>
              <w:t>Online class (broadcast live - interactive such as Zoom)</w:t>
            </w:r>
          </w:p>
        </w:tc>
        <w:tc>
          <w:tcPr>
            <w:tcW w:w="1842" w:type="dxa"/>
            <w:tcBorders>
              <w:top w:val="single" w:sz="4" w:space="0" w:color="000000"/>
              <w:left w:val="single" w:sz="4" w:space="0" w:color="000000"/>
              <w:bottom w:val="single" w:sz="4" w:space="0" w:color="000000"/>
              <w:right w:val="single" w:sz="4" w:space="0" w:color="000000"/>
            </w:tcBorders>
          </w:tcPr>
          <w:p w14:paraId="1A38CEA0" w14:textId="77777777" w:rsidR="009D310B" w:rsidRDefault="009D310B" w:rsidP="00E87892">
            <w:pPr>
              <w:rPr>
                <w:rFonts w:ascii="Calibri" w:eastAsia="Calibri" w:hAnsi="Calibri" w:cs="Calibri"/>
              </w:rPr>
            </w:pPr>
            <w:r>
              <w:rPr>
                <w:rFonts w:ascii="Calibri" w:eastAsia="Calibri" w:hAnsi="Calibri" w:cs="Calibri"/>
                <w:color w:val="000000"/>
              </w:rPr>
              <w:t>1:25</w:t>
            </w:r>
          </w:p>
        </w:tc>
      </w:tr>
      <w:tr w:rsidR="009D310B" w14:paraId="735E6CE1" w14:textId="77777777" w:rsidTr="00E87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38C48D5" w14:textId="77777777" w:rsidR="009D310B" w:rsidRDefault="009D310B" w:rsidP="00E87892">
            <w:pPr>
              <w:rPr>
                <w:rFonts w:ascii="Calibri" w:eastAsia="Calibri" w:hAnsi="Calibri" w:cs="Calibri"/>
                <w:color w:val="000000"/>
              </w:rPr>
            </w:pPr>
            <w:r>
              <w:rPr>
                <w:rFonts w:ascii="Calibri" w:eastAsia="Calibri" w:hAnsi="Calibri" w:cs="Calibri"/>
                <w:color w:val="000000"/>
              </w:rPr>
              <w:t>Asynchronous</w:t>
            </w:r>
          </w:p>
        </w:tc>
        <w:tc>
          <w:tcPr>
            <w:tcW w:w="3969" w:type="dxa"/>
            <w:tcBorders>
              <w:top w:val="single" w:sz="4" w:space="0" w:color="000000"/>
              <w:left w:val="single" w:sz="4" w:space="0" w:color="000000"/>
              <w:bottom w:val="single" w:sz="4" w:space="0" w:color="000000"/>
              <w:right w:val="single" w:sz="4" w:space="0" w:color="000000"/>
            </w:tcBorders>
          </w:tcPr>
          <w:p w14:paraId="57D2DC0F" w14:textId="37F274C3" w:rsidR="009D310B" w:rsidRDefault="009D310B" w:rsidP="00E87892">
            <w:pPr>
              <w:rPr>
                <w:rFonts w:ascii="Calibri" w:eastAsia="Calibri" w:hAnsi="Calibri" w:cs="Calibri"/>
              </w:rPr>
            </w:pPr>
            <w:r>
              <w:rPr>
                <w:rFonts w:ascii="Calibri" w:eastAsia="Calibri" w:hAnsi="Calibri" w:cs="Calibri"/>
              </w:rPr>
              <w:t>On</w:t>
            </w:r>
            <w:r w:rsidR="00DB7250">
              <w:rPr>
                <w:rFonts w:ascii="Calibri" w:eastAsia="Calibri" w:hAnsi="Calibri" w:cs="Calibri"/>
              </w:rPr>
              <w:t xml:space="preserve"> d</w:t>
            </w:r>
            <w:r>
              <w:rPr>
                <w:rFonts w:ascii="Calibri" w:eastAsia="Calibri" w:hAnsi="Calibri" w:cs="Calibri"/>
              </w:rPr>
              <w:t>emand content</w:t>
            </w:r>
          </w:p>
        </w:tc>
        <w:tc>
          <w:tcPr>
            <w:tcW w:w="1842" w:type="dxa"/>
            <w:tcBorders>
              <w:top w:val="single" w:sz="4" w:space="0" w:color="000000"/>
              <w:left w:val="single" w:sz="4" w:space="0" w:color="000000"/>
              <w:bottom w:val="single" w:sz="4" w:space="0" w:color="000000"/>
              <w:right w:val="single" w:sz="4" w:space="0" w:color="000000"/>
            </w:tcBorders>
          </w:tcPr>
          <w:p w14:paraId="4F510CA1" w14:textId="77777777" w:rsidR="009D310B" w:rsidRDefault="009D310B" w:rsidP="00E87892">
            <w:pPr>
              <w:rPr>
                <w:rFonts w:ascii="Calibri" w:eastAsia="Calibri" w:hAnsi="Calibri" w:cs="Calibri"/>
                <w:color w:val="000000"/>
              </w:rPr>
            </w:pPr>
            <w:r>
              <w:rPr>
                <w:rFonts w:ascii="Calibri" w:eastAsia="Calibri" w:hAnsi="Calibri" w:cs="Calibri"/>
                <w:color w:val="000000"/>
              </w:rPr>
              <w:t>n/a</w:t>
            </w:r>
          </w:p>
        </w:tc>
      </w:tr>
    </w:tbl>
    <w:p w14:paraId="7CD20F50" w14:textId="6887B6C5" w:rsidR="00F060AB" w:rsidRDefault="00D35F8D"/>
    <w:p w14:paraId="397B9A54" w14:textId="55DC5E88" w:rsidR="00AE1F93" w:rsidRDefault="00AE1F93"/>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103"/>
        <w:gridCol w:w="1842"/>
      </w:tblGrid>
      <w:tr w:rsidR="00AE1F93" w14:paraId="13A8672E" w14:textId="77777777" w:rsidTr="00E87892">
        <w:tc>
          <w:tcPr>
            <w:tcW w:w="7225" w:type="dxa"/>
            <w:gridSpan w:val="2"/>
            <w:shd w:val="clear" w:color="auto" w:fill="D9E2F3"/>
          </w:tcPr>
          <w:p w14:paraId="2558DCE7" w14:textId="02965973" w:rsidR="00AE1F93" w:rsidRDefault="00AE1F93" w:rsidP="00E87892">
            <w:pPr>
              <w:ind w:left="589" w:hanging="589"/>
              <w:rPr>
                <w:rFonts w:ascii="Calibri" w:eastAsia="Calibri" w:hAnsi="Calibri" w:cs="Calibri"/>
              </w:rPr>
            </w:pPr>
            <w:r>
              <w:rPr>
                <w:rFonts w:ascii="Calibri" w:eastAsia="Calibri" w:hAnsi="Calibri" w:cs="Calibri"/>
                <w:b/>
              </w:rPr>
              <w:t>Staff Role Profiles: Qualifications and Experience</w:t>
            </w:r>
          </w:p>
        </w:tc>
        <w:tc>
          <w:tcPr>
            <w:tcW w:w="1842" w:type="dxa"/>
            <w:shd w:val="clear" w:color="auto" w:fill="D9E2F3"/>
          </w:tcPr>
          <w:p w14:paraId="5D1F450A" w14:textId="77777777" w:rsidR="00AE1F93" w:rsidRDefault="00AE1F93" w:rsidP="00E87892">
            <w:pPr>
              <w:rPr>
                <w:rFonts w:ascii="Calibri" w:eastAsia="Calibri" w:hAnsi="Calibri" w:cs="Calibri"/>
              </w:rPr>
            </w:pPr>
          </w:p>
        </w:tc>
      </w:tr>
      <w:tr w:rsidR="00AE1F93" w14:paraId="2FA4E640" w14:textId="77777777" w:rsidTr="00E87892">
        <w:tc>
          <w:tcPr>
            <w:tcW w:w="2122" w:type="dxa"/>
            <w:shd w:val="clear" w:color="auto" w:fill="D9E2F3"/>
          </w:tcPr>
          <w:p w14:paraId="3E8AFB52" w14:textId="5B1E7795" w:rsidR="00AE1F93" w:rsidRDefault="00AE1F93" w:rsidP="00E87892">
            <w:pPr>
              <w:rPr>
                <w:rFonts w:ascii="Calibri" w:eastAsia="Calibri" w:hAnsi="Calibri" w:cs="Calibri"/>
                <w:b/>
              </w:rPr>
            </w:pPr>
            <w:r>
              <w:rPr>
                <w:rFonts w:ascii="Calibri" w:eastAsia="Calibri" w:hAnsi="Calibri" w:cs="Calibri"/>
                <w:b/>
              </w:rPr>
              <w:t xml:space="preserve">Role </w:t>
            </w:r>
            <w:r w:rsidR="003B1AB7">
              <w:rPr>
                <w:rFonts w:ascii="Calibri" w:eastAsia="Calibri" w:hAnsi="Calibri" w:cs="Calibri"/>
                <w:b/>
              </w:rPr>
              <w:t>e.g.,</w:t>
            </w:r>
            <w:r>
              <w:rPr>
                <w:rFonts w:ascii="Calibri" w:eastAsia="Calibri" w:hAnsi="Calibri" w:cs="Calibri"/>
                <w:b/>
              </w:rPr>
              <w:t xml:space="preserve"> Lecturer, Mentor, Librarian</w:t>
            </w:r>
          </w:p>
        </w:tc>
        <w:tc>
          <w:tcPr>
            <w:tcW w:w="5103" w:type="dxa"/>
            <w:shd w:val="clear" w:color="auto" w:fill="D9E2F3"/>
          </w:tcPr>
          <w:p w14:paraId="74D847B0" w14:textId="77777777" w:rsidR="00AE1F93" w:rsidRDefault="00AE1F93" w:rsidP="00E87892">
            <w:pPr>
              <w:rPr>
                <w:rFonts w:ascii="Calibri" w:eastAsia="Calibri" w:hAnsi="Calibri" w:cs="Calibri"/>
                <w:b/>
              </w:rPr>
            </w:pPr>
            <w:r>
              <w:rPr>
                <w:rFonts w:ascii="Calibri" w:eastAsia="Calibri" w:hAnsi="Calibri" w:cs="Calibri"/>
                <w:b/>
              </w:rPr>
              <w:t>Profile (Qualifications and Experience expected)</w:t>
            </w:r>
          </w:p>
        </w:tc>
        <w:tc>
          <w:tcPr>
            <w:tcW w:w="1842" w:type="dxa"/>
            <w:shd w:val="clear" w:color="auto" w:fill="D9E2F3"/>
          </w:tcPr>
          <w:p w14:paraId="28430F0B" w14:textId="77777777" w:rsidR="00AE1F93" w:rsidRDefault="00AE1F93" w:rsidP="00E87892">
            <w:pPr>
              <w:rPr>
                <w:rFonts w:ascii="Calibri" w:eastAsia="Calibri" w:hAnsi="Calibri" w:cs="Calibri"/>
                <w:b/>
              </w:rPr>
            </w:pPr>
            <w:r>
              <w:rPr>
                <w:rFonts w:ascii="Calibri" w:eastAsia="Calibri" w:hAnsi="Calibri" w:cs="Calibri"/>
                <w:b/>
              </w:rPr>
              <w:t>No. (WTEs</w:t>
            </w:r>
            <w:r>
              <w:rPr>
                <w:rFonts w:ascii="Calibri" w:eastAsia="Calibri" w:hAnsi="Calibri" w:cs="Calibri"/>
                <w:b/>
                <w:vertAlign w:val="superscript"/>
              </w:rPr>
              <w:footnoteReference w:id="1"/>
            </w:r>
            <w:r>
              <w:rPr>
                <w:rFonts w:ascii="Calibri" w:eastAsia="Calibri" w:hAnsi="Calibri" w:cs="Calibri"/>
                <w:b/>
              </w:rPr>
              <w:t xml:space="preserve">) of Staff on the programme with this role and profile </w:t>
            </w:r>
          </w:p>
        </w:tc>
      </w:tr>
      <w:tr w:rsidR="00AE1F93" w14:paraId="473EFD7E" w14:textId="77777777" w:rsidTr="00E87892">
        <w:tc>
          <w:tcPr>
            <w:tcW w:w="2122" w:type="dxa"/>
            <w:tcMar>
              <w:top w:w="100" w:type="dxa"/>
              <w:left w:w="100" w:type="dxa"/>
              <w:bottom w:w="100" w:type="dxa"/>
              <w:right w:w="100" w:type="dxa"/>
            </w:tcMar>
          </w:tcPr>
          <w:p w14:paraId="6421E324" w14:textId="77777777" w:rsidR="00AE1F93" w:rsidRDefault="00AE1F93" w:rsidP="00E87892">
            <w:pPr>
              <w:ind w:left="180"/>
              <w:rPr>
                <w:rFonts w:ascii="Calibri" w:eastAsia="Calibri" w:hAnsi="Calibri" w:cs="Calibri"/>
                <w:highlight w:val="white"/>
              </w:rPr>
            </w:pPr>
            <w:r>
              <w:rPr>
                <w:rFonts w:ascii="Calibri" w:eastAsia="Calibri" w:hAnsi="Calibri" w:cs="Calibri"/>
                <w:highlight w:val="white"/>
              </w:rPr>
              <w:t>Lecturer</w:t>
            </w:r>
          </w:p>
        </w:tc>
        <w:tc>
          <w:tcPr>
            <w:tcW w:w="5103" w:type="dxa"/>
            <w:tcMar>
              <w:top w:w="100" w:type="dxa"/>
              <w:left w:w="100" w:type="dxa"/>
              <w:bottom w:w="100" w:type="dxa"/>
              <w:right w:w="100" w:type="dxa"/>
            </w:tcMar>
          </w:tcPr>
          <w:p w14:paraId="0313B745" w14:textId="40FA6B6F" w:rsidR="00AE1F93" w:rsidRDefault="00AE1F93" w:rsidP="009B1C29">
            <w:pPr>
              <w:spacing w:after="120"/>
              <w:ind w:left="5" w:hanging="5"/>
              <w:rPr>
                <w:rFonts w:ascii="Calibri" w:eastAsia="Calibri" w:hAnsi="Calibri" w:cs="Calibri"/>
                <w:color w:val="000000"/>
              </w:rPr>
            </w:pPr>
            <w:r>
              <w:rPr>
                <w:rFonts w:ascii="Calibri" w:eastAsia="Calibri" w:hAnsi="Calibri" w:cs="Calibri"/>
              </w:rPr>
              <w:t xml:space="preserve">Faculty delivering this programme will have a minimum of a Level 9 </w:t>
            </w:r>
            <w:r w:rsidR="003B1AB7">
              <w:rPr>
                <w:rFonts w:ascii="Calibri" w:eastAsia="Calibri" w:hAnsi="Calibri" w:cs="Calibri"/>
              </w:rPr>
              <w:t>Master’s</w:t>
            </w:r>
            <w:r>
              <w:rPr>
                <w:rFonts w:ascii="Calibri" w:eastAsia="Calibri" w:hAnsi="Calibri" w:cs="Calibri"/>
              </w:rPr>
              <w:t xml:space="preserve"> Degree or PhD in Psychology or a relevant discipline. </w:t>
            </w:r>
            <w:r>
              <w:rPr>
                <w:rFonts w:ascii="Calibri" w:eastAsia="Calibri" w:hAnsi="Calibri" w:cs="Calibri"/>
                <w:color w:val="000000"/>
              </w:rPr>
              <w:t xml:space="preserve">Additionally, experienced practitioners within the fields of, for example, addiction and rehabilitation, and those with research supervision experience from both quantitative and qualitative approaches are required to deliver the programme. </w:t>
            </w:r>
            <w:r>
              <w:rPr>
                <w:rFonts w:ascii="Calibri" w:eastAsia="Calibri" w:hAnsi="Calibri" w:cs="Calibri"/>
              </w:rPr>
              <w:t>They will have relevant academic and industry knowledge and experience in a range of pertinent fields related to Health Psychology.</w:t>
            </w:r>
          </w:p>
          <w:p w14:paraId="266A87B8" w14:textId="77777777" w:rsidR="00AE1F93" w:rsidRDefault="00AE1F93" w:rsidP="009B1C29">
            <w:pPr>
              <w:ind w:left="5" w:hanging="5"/>
              <w:rPr>
                <w:rFonts w:ascii="Calibri" w:eastAsia="Calibri" w:hAnsi="Calibri" w:cs="Calibri"/>
              </w:rPr>
            </w:pPr>
            <w:r>
              <w:rPr>
                <w:rFonts w:ascii="Calibri" w:eastAsia="Calibri" w:hAnsi="Calibri" w:cs="Calibri"/>
              </w:rPr>
              <w:t>Holders of Level 8 honours Bachelor's degrees in a relevant discipline, who are exceptionally qualified by virtue of significant senior industry experience, will also be considered.</w:t>
            </w:r>
          </w:p>
        </w:tc>
        <w:tc>
          <w:tcPr>
            <w:tcW w:w="1842" w:type="dxa"/>
          </w:tcPr>
          <w:p w14:paraId="5FE5536B" w14:textId="77777777" w:rsidR="00AE1F93" w:rsidRDefault="00AE1F93" w:rsidP="00E87892">
            <w:pPr>
              <w:rPr>
                <w:rFonts w:ascii="Calibri" w:eastAsia="Calibri" w:hAnsi="Calibri" w:cs="Calibri"/>
              </w:rPr>
            </w:pPr>
            <w:r>
              <w:rPr>
                <w:rFonts w:ascii="Calibri" w:eastAsia="Calibri" w:hAnsi="Calibri" w:cs="Calibri"/>
              </w:rPr>
              <w:t>5 full-time lecturers and 2 part-time lecturers.</w:t>
            </w:r>
          </w:p>
          <w:p w14:paraId="7BBE1BD7" w14:textId="77777777" w:rsidR="00AE1F93" w:rsidRDefault="00AE1F93" w:rsidP="00E87892">
            <w:pPr>
              <w:rPr>
                <w:rFonts w:ascii="Calibri" w:eastAsia="Calibri" w:hAnsi="Calibri" w:cs="Calibri"/>
              </w:rPr>
            </w:pPr>
            <w:r>
              <w:rPr>
                <w:rFonts w:ascii="Calibri" w:eastAsia="Calibri" w:hAnsi="Calibri" w:cs="Calibri"/>
              </w:rPr>
              <w:t>This programme can be delivered through current faculty.</w:t>
            </w:r>
          </w:p>
        </w:tc>
      </w:tr>
      <w:tr w:rsidR="00AE1F93" w14:paraId="3BCBD9DB" w14:textId="77777777" w:rsidTr="00E87892">
        <w:tc>
          <w:tcPr>
            <w:tcW w:w="2122" w:type="dxa"/>
            <w:tcMar>
              <w:top w:w="100" w:type="dxa"/>
              <w:left w:w="100" w:type="dxa"/>
              <w:bottom w:w="100" w:type="dxa"/>
              <w:right w:w="100" w:type="dxa"/>
            </w:tcMar>
          </w:tcPr>
          <w:p w14:paraId="568FA450" w14:textId="77777777" w:rsidR="00AE1F93" w:rsidRDefault="00AE1F93" w:rsidP="00E87892">
            <w:pPr>
              <w:ind w:left="180"/>
              <w:rPr>
                <w:rFonts w:ascii="Calibri" w:eastAsia="Calibri" w:hAnsi="Calibri" w:cs="Calibri"/>
                <w:highlight w:val="white"/>
              </w:rPr>
            </w:pPr>
            <w:r>
              <w:rPr>
                <w:rFonts w:ascii="Calibri" w:eastAsia="Calibri" w:hAnsi="Calibri" w:cs="Calibri"/>
                <w:highlight w:val="white"/>
              </w:rPr>
              <w:t>Administration and Support Staff</w:t>
            </w:r>
          </w:p>
        </w:tc>
        <w:tc>
          <w:tcPr>
            <w:tcW w:w="5103" w:type="dxa"/>
            <w:tcMar>
              <w:top w:w="100" w:type="dxa"/>
              <w:left w:w="100" w:type="dxa"/>
              <w:bottom w:w="100" w:type="dxa"/>
              <w:right w:w="100" w:type="dxa"/>
            </w:tcMar>
          </w:tcPr>
          <w:p w14:paraId="5F9F6D39" w14:textId="77777777" w:rsidR="00AE1F93" w:rsidRDefault="00AE1F93" w:rsidP="00E87892">
            <w:pPr>
              <w:ind w:left="100" w:right="120"/>
              <w:rPr>
                <w:rFonts w:ascii="Calibri" w:eastAsia="Calibri" w:hAnsi="Calibri" w:cs="Calibri"/>
                <w:highlight w:val="white"/>
              </w:rPr>
            </w:pPr>
            <w:r>
              <w:rPr>
                <w:rFonts w:ascii="Calibri" w:eastAsia="Calibri" w:hAnsi="Calibri" w:cs="Calibri"/>
                <w:highlight w:val="white"/>
              </w:rPr>
              <w:t>Such as Library, Admissions, Student Experience, Finance etc. Experience and qualifications relevant to the role.</w:t>
            </w:r>
          </w:p>
        </w:tc>
        <w:tc>
          <w:tcPr>
            <w:tcW w:w="1842" w:type="dxa"/>
          </w:tcPr>
          <w:p w14:paraId="022E0D96" w14:textId="77777777" w:rsidR="00AE1F93" w:rsidRDefault="00AE1F93" w:rsidP="00E87892">
            <w:pPr>
              <w:rPr>
                <w:rFonts w:ascii="Calibri" w:eastAsia="Calibri" w:hAnsi="Calibri" w:cs="Calibri"/>
              </w:rPr>
            </w:pPr>
            <w:r>
              <w:rPr>
                <w:rFonts w:ascii="Calibri" w:eastAsia="Calibri" w:hAnsi="Calibri" w:cs="Calibri"/>
              </w:rPr>
              <w:t>0.64</w:t>
            </w:r>
          </w:p>
        </w:tc>
      </w:tr>
      <w:tr w:rsidR="00AE1F93" w14:paraId="4D376A07" w14:textId="77777777" w:rsidTr="00E87892">
        <w:tc>
          <w:tcPr>
            <w:tcW w:w="2122" w:type="dxa"/>
            <w:tcMar>
              <w:top w:w="100" w:type="dxa"/>
              <w:left w:w="100" w:type="dxa"/>
              <w:bottom w:w="100" w:type="dxa"/>
              <w:right w:w="100" w:type="dxa"/>
            </w:tcMar>
          </w:tcPr>
          <w:p w14:paraId="16718067" w14:textId="77777777" w:rsidR="00AE1F93" w:rsidRDefault="00AE1F93" w:rsidP="00E87892">
            <w:pPr>
              <w:ind w:left="180"/>
              <w:rPr>
                <w:rFonts w:ascii="Calibri" w:eastAsia="Calibri" w:hAnsi="Calibri" w:cs="Calibri"/>
              </w:rPr>
            </w:pPr>
            <w:r>
              <w:rPr>
                <w:rFonts w:ascii="Calibri" w:eastAsia="Calibri" w:hAnsi="Calibri" w:cs="Calibri"/>
              </w:rPr>
              <w:t>Academic Director</w:t>
            </w:r>
          </w:p>
        </w:tc>
        <w:tc>
          <w:tcPr>
            <w:tcW w:w="5103" w:type="dxa"/>
            <w:tcMar>
              <w:top w:w="100" w:type="dxa"/>
              <w:left w:w="100" w:type="dxa"/>
              <w:bottom w:w="100" w:type="dxa"/>
              <w:right w:w="100" w:type="dxa"/>
            </w:tcMar>
          </w:tcPr>
          <w:p w14:paraId="1B57B1BB" w14:textId="77777777" w:rsidR="00AE1F93" w:rsidRDefault="00AE1F93" w:rsidP="00E87892">
            <w:pPr>
              <w:ind w:left="180"/>
              <w:rPr>
                <w:rFonts w:ascii="Calibri" w:eastAsia="Calibri" w:hAnsi="Calibri" w:cs="Calibri"/>
              </w:rPr>
            </w:pPr>
            <w:r>
              <w:rPr>
                <w:rFonts w:ascii="Calibri" w:eastAsia="Calibri" w:hAnsi="Calibri" w:cs="Calibri"/>
              </w:rPr>
              <w:t>The Academic Director for this programme will have a minimum of a NFQ Level 10 qualification in Psychology or a related area along with programme management/ academic leadership experience.</w:t>
            </w:r>
          </w:p>
        </w:tc>
        <w:tc>
          <w:tcPr>
            <w:tcW w:w="1842" w:type="dxa"/>
          </w:tcPr>
          <w:p w14:paraId="0E4A2343" w14:textId="77777777" w:rsidR="00AE1F93" w:rsidRDefault="00AE1F93" w:rsidP="00E87892">
            <w:pPr>
              <w:rPr>
                <w:rFonts w:ascii="Calibri" w:eastAsia="Calibri" w:hAnsi="Calibri" w:cs="Calibri"/>
              </w:rPr>
            </w:pPr>
            <w:r>
              <w:rPr>
                <w:rFonts w:ascii="Calibri" w:eastAsia="Calibri" w:hAnsi="Calibri" w:cs="Calibri"/>
              </w:rPr>
              <w:t>0.1</w:t>
            </w:r>
          </w:p>
        </w:tc>
      </w:tr>
      <w:tr w:rsidR="00AE1F93" w14:paraId="5AC19F31" w14:textId="77777777" w:rsidTr="00E87892">
        <w:tc>
          <w:tcPr>
            <w:tcW w:w="2122" w:type="dxa"/>
            <w:tcMar>
              <w:top w:w="100" w:type="dxa"/>
              <w:left w:w="100" w:type="dxa"/>
              <w:bottom w:w="100" w:type="dxa"/>
              <w:right w:w="100" w:type="dxa"/>
            </w:tcMar>
          </w:tcPr>
          <w:p w14:paraId="61EB5A38" w14:textId="77777777" w:rsidR="00AE1F93" w:rsidRDefault="00AE1F93" w:rsidP="00E87892">
            <w:pPr>
              <w:ind w:left="180"/>
              <w:rPr>
                <w:rFonts w:ascii="Calibri" w:eastAsia="Calibri" w:hAnsi="Calibri" w:cs="Calibri"/>
              </w:rPr>
            </w:pPr>
            <w:r>
              <w:rPr>
                <w:rFonts w:ascii="Calibri" w:eastAsia="Calibri" w:hAnsi="Calibri" w:cs="Calibri"/>
              </w:rPr>
              <w:t>Subject Leader</w:t>
            </w:r>
          </w:p>
        </w:tc>
        <w:tc>
          <w:tcPr>
            <w:tcW w:w="5103" w:type="dxa"/>
            <w:tcMar>
              <w:top w:w="100" w:type="dxa"/>
              <w:left w:w="100" w:type="dxa"/>
              <w:bottom w:w="100" w:type="dxa"/>
              <w:right w:w="100" w:type="dxa"/>
            </w:tcMar>
          </w:tcPr>
          <w:p w14:paraId="1CF101B8" w14:textId="77777777" w:rsidR="00AE1F93" w:rsidRDefault="00AE1F93" w:rsidP="00E87892">
            <w:pPr>
              <w:ind w:left="180"/>
              <w:rPr>
                <w:rFonts w:ascii="Calibri" w:eastAsia="Calibri" w:hAnsi="Calibri" w:cs="Calibri"/>
              </w:rPr>
            </w:pPr>
            <w:r>
              <w:rPr>
                <w:rFonts w:ascii="Calibri" w:eastAsia="Calibri" w:hAnsi="Calibri" w:cs="Calibri"/>
              </w:rPr>
              <w:t>The Subject Leader for this programme will have a minimum of a NFQ Level 10 qualification in Psychology along with programme management/and subject area expertise.</w:t>
            </w:r>
          </w:p>
        </w:tc>
        <w:tc>
          <w:tcPr>
            <w:tcW w:w="1842" w:type="dxa"/>
          </w:tcPr>
          <w:p w14:paraId="64DBAE7B" w14:textId="77777777" w:rsidR="00AE1F93" w:rsidRDefault="00AE1F93" w:rsidP="00E87892">
            <w:pPr>
              <w:rPr>
                <w:rFonts w:ascii="Calibri" w:eastAsia="Calibri" w:hAnsi="Calibri" w:cs="Calibri"/>
              </w:rPr>
            </w:pPr>
            <w:r>
              <w:rPr>
                <w:rFonts w:ascii="Calibri" w:eastAsia="Calibri" w:hAnsi="Calibri" w:cs="Calibri"/>
              </w:rPr>
              <w:t>0.5</w:t>
            </w:r>
          </w:p>
        </w:tc>
      </w:tr>
    </w:tbl>
    <w:p w14:paraId="02237555" w14:textId="77777777" w:rsidR="00AE1F93" w:rsidRDefault="00AE1F9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135E2547" w14:textId="77777777" w:rsidTr="00302DC7">
        <w:tc>
          <w:tcPr>
            <w:tcW w:w="9072" w:type="dxa"/>
            <w:shd w:val="clear" w:color="auto" w:fill="FFFFFF" w:themeFill="background1"/>
          </w:tcPr>
          <w:p w14:paraId="7AF4B0E9" w14:textId="50EF9D04" w:rsidR="00F060AB" w:rsidRDefault="00BC1208" w:rsidP="00302DC7">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136794CC" w14:textId="0C95C3DD" w:rsidR="00AE1F93" w:rsidRPr="003546AE" w:rsidRDefault="00AE1F93" w:rsidP="00302DC7">
            <w:pPr>
              <w:spacing w:after="0" w:line="240" w:lineRule="auto"/>
              <w:rPr>
                <w:rFonts w:eastAsia="Times New Roman" w:cstheme="minorHAnsi"/>
              </w:rPr>
            </w:pPr>
            <w:r>
              <w:rPr>
                <w:rFonts w:eastAsia="Times New Roman" w:cstheme="minorHAnsi"/>
              </w:rPr>
              <w:t>See conditions set by the panel under Criterion 6</w:t>
            </w:r>
          </w:p>
          <w:p w14:paraId="1833C771" w14:textId="77777777" w:rsidR="00F060AB" w:rsidRPr="003546AE" w:rsidRDefault="00D35F8D" w:rsidP="00302DC7">
            <w:pPr>
              <w:spacing w:after="0" w:line="240" w:lineRule="auto"/>
              <w:rPr>
                <w:rFonts w:eastAsia="Times New Roman" w:cstheme="minorHAnsi"/>
              </w:rPr>
            </w:pPr>
          </w:p>
          <w:p w14:paraId="43724F6F" w14:textId="77777777" w:rsidR="00F060AB" w:rsidRPr="003546AE" w:rsidRDefault="00D35F8D" w:rsidP="00302DC7">
            <w:pPr>
              <w:spacing w:after="0" w:line="240" w:lineRule="auto"/>
              <w:rPr>
                <w:rFonts w:eastAsia="Times New Roman" w:cstheme="minorHAnsi"/>
              </w:rPr>
            </w:pPr>
          </w:p>
        </w:tc>
      </w:tr>
    </w:tbl>
    <w:p w14:paraId="1DC8C101" w14:textId="77777777" w:rsidR="00F060AB" w:rsidRPr="003546AE" w:rsidRDefault="00D35F8D" w:rsidP="00F060AB">
      <w:pPr>
        <w:spacing w:after="0" w:line="240" w:lineRule="auto"/>
        <w:rPr>
          <w:rFonts w:eastAsia="Times New Roman" w:cstheme="minorHAnsi"/>
        </w:rPr>
      </w:pPr>
    </w:p>
    <w:p w14:paraId="39A0FD49" w14:textId="77777777" w:rsidR="00F060AB" w:rsidRPr="003546AE" w:rsidRDefault="00D35F8D" w:rsidP="00F060AB">
      <w:pPr>
        <w:spacing w:after="0" w:line="240" w:lineRule="auto"/>
        <w:rPr>
          <w:rFonts w:eastAsia="Times New Roman" w:cstheme="minorHAnsi"/>
        </w:rPr>
      </w:pPr>
    </w:p>
    <w:p w14:paraId="0B5DB8F2" w14:textId="77777777" w:rsidR="00F060AB" w:rsidRPr="00774361" w:rsidRDefault="00D35F8D" w:rsidP="00F060AB">
      <w:pPr>
        <w:spacing w:after="0" w:line="240" w:lineRule="auto"/>
        <w:rPr>
          <w:rFonts w:eastAsia="Times New Roman" w:cstheme="minorHAnsi"/>
        </w:rPr>
      </w:pPr>
    </w:p>
    <w:p w14:paraId="57D61432" w14:textId="77777777" w:rsidR="00774361" w:rsidRPr="00774361" w:rsidRDefault="00774361" w:rsidP="00774361">
      <w:pPr>
        <w:pStyle w:val="Heading2"/>
        <w:numPr>
          <w:ilvl w:val="0"/>
          <w:numId w:val="0"/>
        </w:numPr>
        <w:ind w:left="576" w:hanging="576"/>
        <w:rPr>
          <w:color w:val="auto"/>
        </w:rPr>
      </w:pPr>
      <w:r w:rsidRPr="00774361">
        <w:rPr>
          <w:color w:val="auto"/>
        </w:rPr>
        <w:t>Postgraduate Diploma in Science in Health Psychology</w:t>
      </w:r>
    </w:p>
    <w:tbl>
      <w:tblPr>
        <w:tblW w:w="9071" w:type="dxa"/>
        <w:tblInd w:w="1" w:type="dxa"/>
        <w:tblLayout w:type="fixed"/>
        <w:tblLook w:val="0400" w:firstRow="0" w:lastRow="0" w:firstColumn="0" w:lastColumn="0" w:noHBand="0" w:noVBand="1"/>
      </w:tblPr>
      <w:tblGrid>
        <w:gridCol w:w="4677"/>
        <w:gridCol w:w="2268"/>
        <w:gridCol w:w="2126"/>
      </w:tblGrid>
      <w:tr w:rsidR="00774361" w:rsidRPr="00774361" w14:paraId="0058034D" w14:textId="77777777" w:rsidTr="00EA2DE4">
        <w:trPr>
          <w:trHeight w:val="547"/>
        </w:trPr>
        <w:tc>
          <w:tcPr>
            <w:tcW w:w="4677" w:type="dxa"/>
            <w:tcBorders>
              <w:top w:val="single" w:sz="5" w:space="0" w:color="000000"/>
              <w:left w:val="single" w:sz="5" w:space="0" w:color="000000"/>
              <w:bottom w:val="single" w:sz="5" w:space="0" w:color="000000"/>
              <w:right w:val="single" w:sz="5" w:space="0" w:color="000000"/>
            </w:tcBorders>
            <w:shd w:val="clear" w:color="auto" w:fill="DEEAF6"/>
          </w:tcPr>
          <w:p w14:paraId="4AD1AFDC" w14:textId="77777777" w:rsidR="00774361" w:rsidRPr="00774361" w:rsidRDefault="00774361" w:rsidP="00EA2DE4">
            <w:pPr>
              <w:spacing w:after="0"/>
              <w:ind w:right="7"/>
              <w:rPr>
                <w:rFonts w:ascii="Calibri" w:eastAsia="Calibri" w:hAnsi="Calibri" w:cs="Calibri"/>
              </w:rPr>
            </w:pPr>
            <w:r w:rsidRPr="00774361">
              <w:rPr>
                <w:rFonts w:ascii="Calibri" w:eastAsia="Calibri" w:hAnsi="Calibri" w:cs="Calibri"/>
              </w:rPr>
              <w:t xml:space="preserve">Names of centre(s) where the programme(s) is to be provided  </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cPr>
          <w:p w14:paraId="695461C3"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Maximum number of </w:t>
            </w:r>
          </w:p>
          <w:p w14:paraId="653763AF"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learners (per centre) </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cPr>
          <w:p w14:paraId="18F8155B" w14:textId="77777777" w:rsidR="00774361" w:rsidRPr="00774361" w:rsidRDefault="00774361" w:rsidP="00EA2DE4">
            <w:pPr>
              <w:spacing w:after="0"/>
              <w:ind w:left="3"/>
              <w:rPr>
                <w:rFonts w:ascii="Calibri" w:eastAsia="Calibri" w:hAnsi="Calibri" w:cs="Calibri"/>
              </w:rPr>
            </w:pPr>
            <w:r w:rsidRPr="00774361">
              <w:rPr>
                <w:rFonts w:ascii="Calibri" w:eastAsia="Calibri" w:hAnsi="Calibri" w:cs="Calibri"/>
              </w:rPr>
              <w:t xml:space="preserve">Minimum number of learners </w:t>
            </w:r>
          </w:p>
        </w:tc>
      </w:tr>
      <w:tr w:rsidR="00774361" w:rsidRPr="00774361" w14:paraId="6D2980A5" w14:textId="77777777" w:rsidTr="00EA2DE4">
        <w:trPr>
          <w:trHeight w:val="279"/>
        </w:trPr>
        <w:tc>
          <w:tcPr>
            <w:tcW w:w="4677" w:type="dxa"/>
            <w:tcBorders>
              <w:top w:val="single" w:sz="5" w:space="0" w:color="000000"/>
              <w:left w:val="single" w:sz="5" w:space="0" w:color="000000"/>
              <w:bottom w:val="single" w:sz="5" w:space="0" w:color="000000"/>
              <w:right w:val="single" w:sz="5" w:space="0" w:color="000000"/>
            </w:tcBorders>
          </w:tcPr>
          <w:p w14:paraId="4B836023"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Dublin Business School </w:t>
            </w:r>
          </w:p>
        </w:tc>
        <w:tc>
          <w:tcPr>
            <w:tcW w:w="2268" w:type="dxa"/>
            <w:tcBorders>
              <w:top w:val="single" w:sz="5" w:space="0" w:color="000000"/>
              <w:left w:val="single" w:sz="5" w:space="0" w:color="000000"/>
              <w:bottom w:val="single" w:sz="5" w:space="0" w:color="000000"/>
              <w:right w:val="single" w:sz="5" w:space="0" w:color="000000"/>
            </w:tcBorders>
          </w:tcPr>
          <w:p w14:paraId="0A0BFD48"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250 </w:t>
            </w:r>
          </w:p>
        </w:tc>
        <w:tc>
          <w:tcPr>
            <w:tcW w:w="2126" w:type="dxa"/>
            <w:tcBorders>
              <w:top w:val="single" w:sz="5" w:space="0" w:color="000000"/>
              <w:left w:val="single" w:sz="5" w:space="0" w:color="000000"/>
              <w:bottom w:val="single" w:sz="5" w:space="0" w:color="000000"/>
              <w:right w:val="single" w:sz="5" w:space="0" w:color="000000"/>
            </w:tcBorders>
          </w:tcPr>
          <w:p w14:paraId="09005780" w14:textId="77777777" w:rsidR="00774361" w:rsidRPr="00774361" w:rsidRDefault="00774361" w:rsidP="00EA2DE4">
            <w:pPr>
              <w:spacing w:after="0"/>
              <w:ind w:left="3"/>
              <w:rPr>
                <w:rFonts w:ascii="Calibri" w:eastAsia="Calibri" w:hAnsi="Calibri" w:cs="Calibri"/>
              </w:rPr>
            </w:pPr>
            <w:r w:rsidRPr="00774361">
              <w:rPr>
                <w:rFonts w:ascii="Calibri" w:eastAsia="Calibri" w:hAnsi="Calibri" w:cs="Calibri"/>
              </w:rPr>
              <w:t xml:space="preserve">20 </w:t>
            </w:r>
          </w:p>
        </w:tc>
      </w:tr>
    </w:tbl>
    <w:p w14:paraId="6C392E27" w14:textId="77777777" w:rsidR="00774361" w:rsidRPr="00774361" w:rsidRDefault="00774361" w:rsidP="00774361">
      <w:pPr>
        <w:spacing w:after="0"/>
        <w:rPr>
          <w:rFonts w:ascii="Calibri" w:eastAsia="Calibri" w:hAnsi="Calibri" w:cs="Calibri"/>
        </w:rPr>
      </w:pPr>
      <w:r w:rsidRPr="00774361">
        <w:rPr>
          <w:rFonts w:ascii="Calibri" w:eastAsia="Calibri" w:hAnsi="Calibri" w:cs="Calibri"/>
        </w:rPr>
        <w:t xml:space="preserve"> </w:t>
      </w:r>
    </w:p>
    <w:tbl>
      <w:tblPr>
        <w:tblW w:w="9073" w:type="dxa"/>
        <w:tblInd w:w="-1" w:type="dxa"/>
        <w:tblLayout w:type="fixed"/>
        <w:tblLook w:val="0400" w:firstRow="0" w:lastRow="0" w:firstColumn="0" w:lastColumn="0" w:noHBand="0" w:noVBand="1"/>
      </w:tblPr>
      <w:tblGrid>
        <w:gridCol w:w="1980"/>
        <w:gridCol w:w="2429"/>
        <w:gridCol w:w="2250"/>
        <w:gridCol w:w="2414"/>
      </w:tblGrid>
      <w:tr w:rsidR="00774361" w:rsidRPr="00774361" w14:paraId="3D4C365D" w14:textId="77777777" w:rsidTr="00EA2DE4">
        <w:trPr>
          <w:trHeight w:val="516"/>
        </w:trPr>
        <w:tc>
          <w:tcPr>
            <w:tcW w:w="9073" w:type="dxa"/>
            <w:gridSpan w:val="4"/>
            <w:tcBorders>
              <w:top w:val="single" w:sz="5" w:space="0" w:color="000000"/>
              <w:left w:val="single" w:sz="5" w:space="0" w:color="000000"/>
              <w:bottom w:val="single" w:sz="5" w:space="0" w:color="000000"/>
              <w:right w:val="single" w:sz="5" w:space="0" w:color="000000"/>
            </w:tcBorders>
            <w:shd w:val="clear" w:color="auto" w:fill="DEEAF6"/>
          </w:tcPr>
          <w:p w14:paraId="68AC83E1"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Proposed Enrolment </w:t>
            </w:r>
          </w:p>
        </w:tc>
      </w:tr>
      <w:tr w:rsidR="00774361" w:rsidRPr="00774361" w14:paraId="49334BCD" w14:textId="77777777" w:rsidTr="00EA2DE4">
        <w:trPr>
          <w:trHeight w:val="518"/>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2FCE6FA5" w14:textId="77777777" w:rsidR="00774361" w:rsidRPr="00774361" w:rsidRDefault="00774361" w:rsidP="00EA2DE4">
            <w:pPr>
              <w:spacing w:after="0"/>
              <w:ind w:right="51"/>
              <w:jc w:val="right"/>
              <w:rPr>
                <w:rFonts w:ascii="Calibri" w:eastAsia="Calibri" w:hAnsi="Calibri" w:cs="Calibri"/>
              </w:rPr>
            </w:pPr>
            <w:r w:rsidRPr="00774361">
              <w:rPr>
                <w:rFonts w:ascii="Calibri" w:eastAsia="Calibri" w:hAnsi="Calibri" w:cs="Calibri"/>
              </w:rPr>
              <w:t xml:space="preserve">Date of first intake </w:t>
            </w:r>
          </w:p>
        </w:tc>
        <w:tc>
          <w:tcPr>
            <w:tcW w:w="4664" w:type="dxa"/>
            <w:gridSpan w:val="2"/>
            <w:tcBorders>
              <w:top w:val="single" w:sz="5" w:space="0" w:color="000000"/>
              <w:left w:val="single" w:sz="5" w:space="0" w:color="000000"/>
              <w:bottom w:val="single" w:sz="5" w:space="0" w:color="000000"/>
              <w:right w:val="single" w:sz="5" w:space="0" w:color="000000"/>
            </w:tcBorders>
          </w:tcPr>
          <w:p w14:paraId="1D9DC8F6" w14:textId="77777777" w:rsidR="00774361" w:rsidRPr="00774361" w:rsidRDefault="00774361" w:rsidP="00EA2DE4">
            <w:pPr>
              <w:spacing w:after="0"/>
              <w:ind w:left="1"/>
              <w:rPr>
                <w:rFonts w:ascii="Calibri" w:eastAsia="Calibri" w:hAnsi="Calibri" w:cs="Calibri"/>
              </w:rPr>
            </w:pPr>
            <w:r w:rsidRPr="00774361">
              <w:rPr>
                <w:rFonts w:ascii="Calibri" w:eastAsia="Calibri" w:hAnsi="Calibri" w:cs="Calibri"/>
              </w:rPr>
              <w:t xml:space="preserve">N/A (Exit Award) </w:t>
            </w:r>
          </w:p>
        </w:tc>
      </w:tr>
      <w:tr w:rsidR="00774361" w:rsidRPr="00774361" w14:paraId="05095B1F" w14:textId="77777777" w:rsidTr="00EA2DE4">
        <w:trPr>
          <w:trHeight w:val="438"/>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4FEFC76C" w14:textId="77777777" w:rsidR="00774361" w:rsidRPr="00774361" w:rsidRDefault="00774361" w:rsidP="00EA2DE4">
            <w:pPr>
              <w:spacing w:after="0"/>
              <w:ind w:right="50"/>
              <w:jc w:val="right"/>
              <w:rPr>
                <w:rFonts w:ascii="Calibri" w:eastAsia="Calibri" w:hAnsi="Calibri" w:cs="Calibri"/>
              </w:rPr>
            </w:pPr>
            <w:r w:rsidRPr="00774361">
              <w:rPr>
                <w:rFonts w:ascii="Calibri" w:eastAsia="Calibri" w:hAnsi="Calibri" w:cs="Calibri"/>
              </w:rPr>
              <w:t xml:space="preserve">Maximum number of annual intakes </w:t>
            </w:r>
          </w:p>
        </w:tc>
        <w:tc>
          <w:tcPr>
            <w:tcW w:w="4664" w:type="dxa"/>
            <w:gridSpan w:val="2"/>
            <w:tcBorders>
              <w:top w:val="single" w:sz="5" w:space="0" w:color="000000"/>
              <w:left w:val="single" w:sz="5" w:space="0" w:color="000000"/>
              <w:bottom w:val="single" w:sz="5" w:space="0" w:color="000000"/>
              <w:right w:val="single" w:sz="5" w:space="0" w:color="000000"/>
            </w:tcBorders>
          </w:tcPr>
          <w:p w14:paraId="3CC24CCE" w14:textId="77777777" w:rsidR="00774361" w:rsidRPr="00774361" w:rsidRDefault="00774361" w:rsidP="00EA2DE4">
            <w:pPr>
              <w:spacing w:after="0"/>
              <w:ind w:left="1"/>
              <w:rPr>
                <w:rFonts w:ascii="Calibri" w:eastAsia="Calibri" w:hAnsi="Calibri" w:cs="Calibri"/>
              </w:rPr>
            </w:pPr>
            <w:r w:rsidRPr="00774361">
              <w:rPr>
                <w:rFonts w:ascii="Calibri" w:eastAsia="Calibri" w:hAnsi="Calibri" w:cs="Calibri"/>
              </w:rPr>
              <w:t>N/A (Exit Award)</w:t>
            </w:r>
          </w:p>
        </w:tc>
      </w:tr>
      <w:tr w:rsidR="00774361" w:rsidRPr="00774361" w14:paraId="3BBCFC6B" w14:textId="77777777" w:rsidTr="00EA2DE4">
        <w:trPr>
          <w:trHeight w:val="707"/>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52F97766" w14:textId="77777777" w:rsidR="00774361" w:rsidRPr="00774361" w:rsidRDefault="00774361" w:rsidP="00EA2DE4">
            <w:pPr>
              <w:spacing w:after="0"/>
              <w:ind w:left="41" w:right="50"/>
              <w:jc w:val="right"/>
              <w:rPr>
                <w:rFonts w:ascii="Calibri" w:eastAsia="Calibri" w:hAnsi="Calibri" w:cs="Calibri"/>
              </w:rPr>
            </w:pPr>
            <w:r w:rsidRPr="00774361">
              <w:rPr>
                <w:rFonts w:ascii="Calibri" w:eastAsia="Calibri" w:hAnsi="Calibri" w:cs="Calibri"/>
              </w:rPr>
              <w:t xml:space="preserve">Maximum total number of learners per intake </w:t>
            </w:r>
          </w:p>
        </w:tc>
        <w:tc>
          <w:tcPr>
            <w:tcW w:w="4664" w:type="dxa"/>
            <w:gridSpan w:val="2"/>
            <w:tcBorders>
              <w:top w:val="single" w:sz="5" w:space="0" w:color="000000"/>
              <w:left w:val="single" w:sz="5" w:space="0" w:color="000000"/>
              <w:bottom w:val="single" w:sz="5" w:space="0" w:color="000000"/>
              <w:right w:val="single" w:sz="5" w:space="0" w:color="000000"/>
            </w:tcBorders>
          </w:tcPr>
          <w:p w14:paraId="4766544E" w14:textId="77777777" w:rsidR="00774361" w:rsidRPr="00774361" w:rsidRDefault="00774361" w:rsidP="00EA2DE4">
            <w:pPr>
              <w:spacing w:after="0"/>
              <w:ind w:left="1"/>
              <w:rPr>
                <w:rFonts w:ascii="Calibri" w:eastAsia="Calibri" w:hAnsi="Calibri" w:cs="Calibri"/>
              </w:rPr>
            </w:pPr>
            <w:r w:rsidRPr="00774361">
              <w:rPr>
                <w:rFonts w:ascii="Calibri" w:eastAsia="Calibri" w:hAnsi="Calibri" w:cs="Calibri"/>
              </w:rPr>
              <w:t>N/A (Exit Award)</w:t>
            </w:r>
          </w:p>
        </w:tc>
      </w:tr>
      <w:tr w:rsidR="00774361" w:rsidRPr="00774361" w14:paraId="71626A6C" w14:textId="77777777" w:rsidTr="00EA2DE4">
        <w:trPr>
          <w:trHeight w:val="977"/>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5C2C64AB" w14:textId="77777777" w:rsidR="00774361" w:rsidRPr="00774361" w:rsidRDefault="00774361" w:rsidP="00EA2DE4">
            <w:pPr>
              <w:spacing w:after="0"/>
              <w:ind w:right="48"/>
              <w:jc w:val="right"/>
              <w:rPr>
                <w:rFonts w:ascii="Calibri" w:eastAsia="Calibri" w:hAnsi="Calibri" w:cs="Calibri"/>
              </w:rPr>
            </w:pPr>
            <w:r w:rsidRPr="00774361">
              <w:rPr>
                <w:rFonts w:ascii="Calibri" w:eastAsia="Calibri" w:hAnsi="Calibri" w:cs="Calibri"/>
              </w:rPr>
              <w:t xml:space="preserve">Programme duration (months from start to completion) </w:t>
            </w:r>
          </w:p>
        </w:tc>
        <w:tc>
          <w:tcPr>
            <w:tcW w:w="4664" w:type="dxa"/>
            <w:gridSpan w:val="2"/>
            <w:tcBorders>
              <w:top w:val="single" w:sz="5" w:space="0" w:color="000000"/>
              <w:left w:val="single" w:sz="5" w:space="0" w:color="000000"/>
              <w:bottom w:val="single" w:sz="5" w:space="0" w:color="000000"/>
              <w:right w:val="single" w:sz="5" w:space="0" w:color="000000"/>
            </w:tcBorders>
          </w:tcPr>
          <w:p w14:paraId="2E1EDF1F" w14:textId="77777777" w:rsidR="00774361" w:rsidRPr="00774361" w:rsidRDefault="00774361" w:rsidP="00EA2DE4">
            <w:pPr>
              <w:spacing w:after="0"/>
              <w:ind w:left="1"/>
              <w:rPr>
                <w:rFonts w:ascii="Calibri" w:eastAsia="Calibri" w:hAnsi="Calibri" w:cs="Calibri"/>
              </w:rPr>
            </w:pPr>
            <w:proofErr w:type="gramStart"/>
            <w:r w:rsidRPr="00774361">
              <w:rPr>
                <w:rFonts w:ascii="Calibri" w:eastAsia="Calibri" w:hAnsi="Calibri" w:cs="Calibri"/>
              </w:rPr>
              <w:t>One year</w:t>
            </w:r>
            <w:proofErr w:type="gramEnd"/>
            <w:r w:rsidRPr="00774361">
              <w:rPr>
                <w:rFonts w:ascii="Calibri" w:eastAsia="Calibri" w:hAnsi="Calibri" w:cs="Calibri"/>
              </w:rPr>
              <w:t xml:space="preserve"> full time (12 months; 2 semesters of 12 weeks each) or two years part time (18 months; 3 semesters of 12 weeks each) </w:t>
            </w:r>
          </w:p>
        </w:tc>
      </w:tr>
      <w:tr w:rsidR="00774361" w:rsidRPr="00774361" w14:paraId="63FED5C6" w14:textId="77777777" w:rsidTr="00EA2DE4">
        <w:trPr>
          <w:trHeight w:val="867"/>
        </w:trPr>
        <w:tc>
          <w:tcPr>
            <w:tcW w:w="9073" w:type="dxa"/>
            <w:gridSpan w:val="4"/>
            <w:tcBorders>
              <w:top w:val="single" w:sz="5" w:space="0" w:color="000000"/>
              <w:left w:val="single" w:sz="5" w:space="0" w:color="000000"/>
              <w:bottom w:val="single" w:sz="5" w:space="0" w:color="000000"/>
              <w:right w:val="single" w:sz="5" w:space="0" w:color="000000"/>
            </w:tcBorders>
          </w:tcPr>
          <w:p w14:paraId="679999FB" w14:textId="77777777" w:rsidR="00774361" w:rsidRPr="00774361" w:rsidRDefault="00774361" w:rsidP="00EA2DE4">
            <w:pPr>
              <w:spacing w:after="151"/>
              <w:rPr>
                <w:rFonts w:ascii="Calibri" w:eastAsia="Calibri" w:hAnsi="Calibri" w:cs="Calibri"/>
              </w:rPr>
            </w:pPr>
            <w:r w:rsidRPr="00774361">
              <w:rPr>
                <w:rFonts w:ascii="Calibri" w:eastAsia="Calibri" w:hAnsi="Calibri" w:cs="Calibri"/>
              </w:rPr>
              <w:t xml:space="preserve">Panel Commentary on proposed enrolment:  </w:t>
            </w:r>
          </w:p>
          <w:p w14:paraId="0AB52FFE" w14:textId="109A36B8" w:rsidR="00774361" w:rsidRPr="00774361" w:rsidRDefault="00774361" w:rsidP="00EA2DE4">
            <w:pPr>
              <w:spacing w:after="0"/>
              <w:rPr>
                <w:rFonts w:ascii="Calibri" w:eastAsia="Calibri" w:hAnsi="Calibri" w:cs="Calibri"/>
                <w:i/>
              </w:rPr>
            </w:pPr>
          </w:p>
        </w:tc>
      </w:tr>
      <w:tr w:rsidR="00774361" w:rsidRPr="00774361" w14:paraId="5D23890B" w14:textId="77777777" w:rsidTr="00EA2DE4">
        <w:trPr>
          <w:trHeight w:val="439"/>
        </w:trPr>
        <w:tc>
          <w:tcPr>
            <w:tcW w:w="9073" w:type="dxa"/>
            <w:gridSpan w:val="4"/>
            <w:tcBorders>
              <w:top w:val="single" w:sz="5" w:space="0" w:color="000000"/>
              <w:left w:val="single" w:sz="5" w:space="0" w:color="000000"/>
              <w:bottom w:val="single" w:sz="5" w:space="0" w:color="000000"/>
              <w:right w:val="single" w:sz="5" w:space="0" w:color="000000"/>
            </w:tcBorders>
            <w:shd w:val="clear" w:color="auto" w:fill="DEEAF6"/>
          </w:tcPr>
          <w:p w14:paraId="425BF71A"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Target learner groups </w:t>
            </w:r>
          </w:p>
        </w:tc>
      </w:tr>
      <w:tr w:rsidR="00774361" w:rsidRPr="00774361" w14:paraId="2D9DF1A7" w14:textId="77777777" w:rsidTr="00EA2DE4">
        <w:trPr>
          <w:trHeight w:val="1513"/>
        </w:trPr>
        <w:tc>
          <w:tcPr>
            <w:tcW w:w="9073" w:type="dxa"/>
            <w:gridSpan w:val="4"/>
            <w:tcBorders>
              <w:top w:val="single" w:sz="5" w:space="0" w:color="000000"/>
              <w:left w:val="single" w:sz="5" w:space="0" w:color="000000"/>
              <w:bottom w:val="single" w:sz="5" w:space="0" w:color="000000"/>
              <w:right w:val="single" w:sz="5" w:space="0" w:color="000000"/>
            </w:tcBorders>
          </w:tcPr>
          <w:p w14:paraId="374D5AB7"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The target group for the Postgraduate Diploma in Science in Health Psych programme is as above in the principal programme. However, this award is available for those who wish to capture the value of their learning experience in a named award but cannot complete the research component of this programme. Learners who choose this exit award option will not be enrolled separately to the Master of Science in Health Psychology programme. </w:t>
            </w:r>
          </w:p>
        </w:tc>
      </w:tr>
      <w:tr w:rsidR="00774361" w:rsidRPr="00774361" w14:paraId="02514329" w14:textId="77777777" w:rsidTr="00EA2DE4">
        <w:trPr>
          <w:trHeight w:val="439"/>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1F4C5EF9"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Approved countries for provision </w:t>
            </w:r>
          </w:p>
        </w:tc>
        <w:tc>
          <w:tcPr>
            <w:tcW w:w="4664" w:type="dxa"/>
            <w:gridSpan w:val="2"/>
            <w:tcBorders>
              <w:top w:val="single" w:sz="5" w:space="0" w:color="000000"/>
              <w:left w:val="single" w:sz="5" w:space="0" w:color="000000"/>
              <w:bottom w:val="single" w:sz="5" w:space="0" w:color="000000"/>
              <w:right w:val="single" w:sz="5" w:space="0" w:color="000000"/>
            </w:tcBorders>
          </w:tcPr>
          <w:p w14:paraId="4FE43EFD" w14:textId="77777777" w:rsidR="00774361" w:rsidRPr="00774361" w:rsidRDefault="00774361" w:rsidP="00EA2DE4">
            <w:pPr>
              <w:spacing w:after="0"/>
              <w:ind w:left="1"/>
              <w:rPr>
                <w:rFonts w:ascii="Calibri" w:eastAsia="Calibri" w:hAnsi="Calibri" w:cs="Calibri"/>
              </w:rPr>
            </w:pPr>
            <w:r w:rsidRPr="00774361">
              <w:rPr>
                <w:rFonts w:ascii="Calibri" w:eastAsia="Calibri" w:hAnsi="Calibri" w:cs="Calibri"/>
              </w:rPr>
              <w:t xml:space="preserve">Ireland </w:t>
            </w:r>
          </w:p>
        </w:tc>
      </w:tr>
      <w:tr w:rsidR="00774361" w:rsidRPr="00774361" w14:paraId="0A663182" w14:textId="77777777" w:rsidTr="00EA2DE4">
        <w:trPr>
          <w:trHeight w:val="437"/>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028A27CE"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Delivery mode: Full-time/Part-time </w:t>
            </w:r>
          </w:p>
        </w:tc>
        <w:tc>
          <w:tcPr>
            <w:tcW w:w="4664" w:type="dxa"/>
            <w:gridSpan w:val="2"/>
            <w:tcBorders>
              <w:top w:val="single" w:sz="5" w:space="0" w:color="000000"/>
              <w:left w:val="single" w:sz="5" w:space="0" w:color="000000"/>
              <w:bottom w:val="single" w:sz="5" w:space="0" w:color="000000"/>
              <w:right w:val="single" w:sz="5" w:space="0" w:color="000000"/>
            </w:tcBorders>
          </w:tcPr>
          <w:p w14:paraId="0925CE40" w14:textId="77777777" w:rsidR="00774361" w:rsidRPr="00774361" w:rsidRDefault="00774361" w:rsidP="00EA2DE4">
            <w:pPr>
              <w:spacing w:after="0"/>
              <w:ind w:left="1"/>
              <w:rPr>
                <w:rFonts w:ascii="Calibri" w:eastAsia="Calibri" w:hAnsi="Calibri" w:cs="Calibri"/>
              </w:rPr>
            </w:pPr>
            <w:r w:rsidRPr="00774361">
              <w:rPr>
                <w:rFonts w:ascii="Calibri" w:eastAsia="Calibri" w:hAnsi="Calibri" w:cs="Calibri"/>
              </w:rPr>
              <w:t xml:space="preserve">Full-time and part-time </w:t>
            </w:r>
          </w:p>
        </w:tc>
      </w:tr>
      <w:tr w:rsidR="00774361" w:rsidRPr="00774361" w14:paraId="69ABFFCB" w14:textId="77777777" w:rsidTr="00EA2DE4">
        <w:trPr>
          <w:trHeight w:val="440"/>
        </w:trPr>
        <w:tc>
          <w:tcPr>
            <w:tcW w:w="9073" w:type="dxa"/>
            <w:gridSpan w:val="4"/>
            <w:tcBorders>
              <w:top w:val="single" w:sz="5" w:space="0" w:color="000000"/>
              <w:left w:val="single" w:sz="5" w:space="0" w:color="000000"/>
              <w:bottom w:val="single" w:sz="5" w:space="0" w:color="000000"/>
              <w:right w:val="single" w:sz="5" w:space="0" w:color="000000"/>
            </w:tcBorders>
          </w:tcPr>
          <w:p w14:paraId="0D86064A"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The teaching and learning modalities </w:t>
            </w:r>
          </w:p>
        </w:tc>
      </w:tr>
      <w:tr w:rsidR="00774361" w:rsidRPr="00774361" w14:paraId="055852B9" w14:textId="77777777" w:rsidTr="00EA2DE4">
        <w:trPr>
          <w:trHeight w:val="1721"/>
        </w:trPr>
        <w:tc>
          <w:tcPr>
            <w:tcW w:w="9073" w:type="dxa"/>
            <w:gridSpan w:val="4"/>
            <w:tcBorders>
              <w:top w:val="single" w:sz="5" w:space="0" w:color="000000"/>
              <w:left w:val="single" w:sz="5" w:space="0" w:color="000000"/>
              <w:bottom w:val="single" w:sz="5" w:space="0" w:color="000000"/>
              <w:right w:val="single" w:sz="5" w:space="0" w:color="000000"/>
            </w:tcBorders>
          </w:tcPr>
          <w:p w14:paraId="0680FE43" w14:textId="77777777" w:rsidR="00774361" w:rsidRPr="00774361" w:rsidRDefault="00774361" w:rsidP="00EA2DE4">
            <w:pPr>
              <w:spacing w:after="180"/>
              <w:rPr>
                <w:rFonts w:ascii="Calibri" w:eastAsia="Calibri" w:hAnsi="Calibri" w:cs="Calibri"/>
              </w:rPr>
            </w:pPr>
            <w:r w:rsidRPr="00774361">
              <w:rPr>
                <w:rFonts w:ascii="Calibri" w:eastAsia="Calibri" w:hAnsi="Calibri" w:cs="Calibri"/>
              </w:rPr>
              <w:t xml:space="preserve">Depending on the module at hand, the modalities include: </w:t>
            </w:r>
          </w:p>
          <w:p w14:paraId="1DA706BD" w14:textId="77777777" w:rsidR="00774361" w:rsidRPr="00774361" w:rsidRDefault="00774361" w:rsidP="00EA2DE4">
            <w:pPr>
              <w:tabs>
                <w:tab w:val="center" w:pos="461"/>
                <w:tab w:val="center" w:pos="4157"/>
              </w:tabs>
              <w:spacing w:after="17"/>
              <w:rPr>
                <w:rFonts w:ascii="Calibri" w:eastAsia="Calibri" w:hAnsi="Calibri" w:cs="Calibri"/>
              </w:rPr>
            </w:pPr>
            <w:r w:rsidRPr="00774361">
              <w:rPr>
                <w:rFonts w:ascii="Calibri" w:eastAsia="Calibri" w:hAnsi="Calibri" w:cs="Calibri"/>
              </w:rPr>
              <w:t xml:space="preserve">Classroom / Face to Face (lectures, workshops, and practical lab-based work) </w:t>
            </w:r>
            <w:r w:rsidRPr="00774361">
              <w:rPr>
                <w:noProof/>
              </w:rPr>
              <mc:AlternateContent>
                <mc:Choice Requires="wpg">
                  <w:drawing>
                    <wp:anchor distT="0" distB="0" distL="114300" distR="114300" simplePos="0" relativeHeight="251659264" behindDoc="0" locked="0" layoutInCell="1" hidden="0" allowOverlap="1" wp14:anchorId="45B64D9D" wp14:editId="7DCC5CDE">
                      <wp:simplePos x="0" y="0"/>
                      <wp:positionH relativeFrom="column">
                        <wp:posOffset>292100</wp:posOffset>
                      </wp:positionH>
                      <wp:positionV relativeFrom="paragraph">
                        <wp:posOffset>38100</wp:posOffset>
                      </wp:positionV>
                      <wp:extent cx="50292" cy="582168"/>
                      <wp:effectExtent l="0" t="0" r="0" b="0"/>
                      <wp:wrapSquare wrapText="bothSides" distT="0" distB="0" distL="114300" distR="114300"/>
                      <wp:docPr id="61952" name="Group 61952"/>
                      <wp:cNvGraphicFramePr/>
                      <a:graphic xmlns:a="http://schemas.openxmlformats.org/drawingml/2006/main">
                        <a:graphicData uri="http://schemas.microsoft.com/office/word/2010/wordprocessingGroup">
                          <wpg:wgp>
                            <wpg:cNvGrpSpPr/>
                            <wpg:grpSpPr>
                              <a:xfrm>
                                <a:off x="0" y="0"/>
                                <a:ext cx="50292" cy="582168"/>
                                <a:chOff x="5320854" y="3488916"/>
                                <a:chExt cx="50292" cy="582168"/>
                              </a:xfrm>
                            </wpg:grpSpPr>
                            <wpg:grpSp>
                              <wpg:cNvPr id="62176" name="Group 62176"/>
                              <wpg:cNvGrpSpPr/>
                              <wpg:grpSpPr>
                                <a:xfrm>
                                  <a:off x="5320854" y="3488916"/>
                                  <a:ext cx="50292" cy="582168"/>
                                  <a:chOff x="0" y="0"/>
                                  <a:chExt cx="50292" cy="582168"/>
                                </a:xfrm>
                              </wpg:grpSpPr>
                              <wps:wsp>
                                <wps:cNvPr id="62177" name="Rectangle 62177"/>
                                <wps:cNvSpPr/>
                                <wps:spPr>
                                  <a:xfrm>
                                    <a:off x="0" y="0"/>
                                    <a:ext cx="50275" cy="582150"/>
                                  </a:xfrm>
                                  <a:prstGeom prst="rect">
                                    <a:avLst/>
                                  </a:prstGeom>
                                  <a:noFill/>
                                  <a:ln>
                                    <a:noFill/>
                                  </a:ln>
                                </wps:spPr>
                                <wps:txbx>
                                  <w:txbxContent>
                                    <w:p w14:paraId="70293D4D" w14:textId="77777777" w:rsidR="00774361" w:rsidRDefault="00774361" w:rsidP="00774361">
                                      <w:pPr>
                                        <w:spacing w:after="0" w:line="240" w:lineRule="auto"/>
                                        <w:textDirection w:val="btLr"/>
                                      </w:pPr>
                                    </w:p>
                                  </w:txbxContent>
                                </wps:txbx>
                                <wps:bodyPr spcFirstLastPara="1" wrap="square" lIns="91425" tIns="91425" rIns="91425" bIns="91425" anchor="ctr" anchorCtr="0">
                                  <a:noAutofit/>
                                </wps:bodyPr>
                              </wps:wsp>
                              <wps:wsp>
                                <wps:cNvPr id="62178" name="Freeform 62178"/>
                                <wps:cNvSpPr/>
                                <wps:spPr>
                                  <a:xfrm>
                                    <a:off x="0" y="0"/>
                                    <a:ext cx="50292" cy="50292"/>
                                  </a:xfrm>
                                  <a:custGeom>
                                    <a:avLst/>
                                    <a:gdLst/>
                                    <a:ahLst/>
                                    <a:cxnLst/>
                                    <a:rect l="l" t="t" r="r" b="b"/>
                                    <a:pathLst>
                                      <a:path w="50292" h="50292" extrusionOk="0">
                                        <a:moveTo>
                                          <a:pt x="25908" y="0"/>
                                        </a:moveTo>
                                        <a:cubicBezTo>
                                          <a:pt x="32004" y="0"/>
                                          <a:pt x="38100" y="1524"/>
                                          <a:pt x="42672" y="6096"/>
                                        </a:cubicBezTo>
                                        <a:cubicBezTo>
                                          <a:pt x="48768" y="12192"/>
                                          <a:pt x="50292" y="18288"/>
                                          <a:pt x="50292" y="24384"/>
                                        </a:cubicBezTo>
                                        <a:cubicBezTo>
                                          <a:pt x="50292" y="32003"/>
                                          <a:pt x="48768" y="38100"/>
                                          <a:pt x="42672"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solidFill>
                                    <a:srgbClr val="000000"/>
                                  </a:solidFill>
                                  <a:ln>
                                    <a:noFill/>
                                  </a:ln>
                                </wps:spPr>
                                <wps:txbx>
                                  <w:txbxContent>
                                    <w:p w14:paraId="1BC42408" w14:textId="77777777" w:rsidR="00774361" w:rsidRDefault="00774361" w:rsidP="00774361">
                                      <w:pPr>
                                        <w:spacing w:after="0" w:line="240" w:lineRule="auto"/>
                                        <w:textDirection w:val="btLr"/>
                                      </w:pPr>
                                    </w:p>
                                  </w:txbxContent>
                                </wps:txbx>
                                <wps:bodyPr spcFirstLastPara="1" wrap="square" lIns="91425" tIns="91425" rIns="91425" bIns="91425" anchor="ctr" anchorCtr="0">
                                  <a:noAutofit/>
                                </wps:bodyPr>
                              </wps:wsp>
                              <wps:wsp>
                                <wps:cNvPr id="62179" name="Freeform 62179"/>
                                <wps:cNvSpPr/>
                                <wps:spPr>
                                  <a:xfrm>
                                    <a:off x="0" y="176785"/>
                                    <a:ext cx="50292" cy="50292"/>
                                  </a:xfrm>
                                  <a:custGeom>
                                    <a:avLst/>
                                    <a:gdLst/>
                                    <a:ahLst/>
                                    <a:cxnLst/>
                                    <a:rect l="l" t="t" r="r" b="b"/>
                                    <a:pathLst>
                                      <a:path w="50292" h="50292" extrusionOk="0">
                                        <a:moveTo>
                                          <a:pt x="25908" y="0"/>
                                        </a:moveTo>
                                        <a:cubicBezTo>
                                          <a:pt x="32004" y="0"/>
                                          <a:pt x="38100" y="1524"/>
                                          <a:pt x="42672" y="6096"/>
                                        </a:cubicBezTo>
                                        <a:cubicBezTo>
                                          <a:pt x="48768" y="12192"/>
                                          <a:pt x="50292" y="18288"/>
                                          <a:pt x="50292" y="24384"/>
                                        </a:cubicBezTo>
                                        <a:cubicBezTo>
                                          <a:pt x="50292" y="32003"/>
                                          <a:pt x="48768" y="38100"/>
                                          <a:pt x="42672"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solidFill>
                                    <a:srgbClr val="000000"/>
                                  </a:solidFill>
                                  <a:ln>
                                    <a:noFill/>
                                  </a:ln>
                                </wps:spPr>
                                <wps:txbx>
                                  <w:txbxContent>
                                    <w:p w14:paraId="7661D8F6" w14:textId="77777777" w:rsidR="00774361" w:rsidRDefault="00774361" w:rsidP="00774361">
                                      <w:pPr>
                                        <w:spacing w:after="0" w:line="240" w:lineRule="auto"/>
                                        <w:textDirection w:val="btLr"/>
                                      </w:pPr>
                                    </w:p>
                                  </w:txbxContent>
                                </wps:txbx>
                                <wps:bodyPr spcFirstLastPara="1" wrap="square" lIns="91425" tIns="91425" rIns="91425" bIns="91425" anchor="ctr" anchorCtr="0">
                                  <a:noAutofit/>
                                </wps:bodyPr>
                              </wps:wsp>
                              <wps:wsp>
                                <wps:cNvPr id="62180" name="Freeform 62180"/>
                                <wps:cNvSpPr/>
                                <wps:spPr>
                                  <a:xfrm>
                                    <a:off x="0" y="355092"/>
                                    <a:ext cx="50292" cy="50292"/>
                                  </a:xfrm>
                                  <a:custGeom>
                                    <a:avLst/>
                                    <a:gdLst/>
                                    <a:ahLst/>
                                    <a:cxnLst/>
                                    <a:rect l="l" t="t" r="r" b="b"/>
                                    <a:pathLst>
                                      <a:path w="50292" h="50292" extrusionOk="0">
                                        <a:moveTo>
                                          <a:pt x="25908" y="0"/>
                                        </a:moveTo>
                                        <a:cubicBezTo>
                                          <a:pt x="32004" y="0"/>
                                          <a:pt x="38100" y="1524"/>
                                          <a:pt x="42672" y="6096"/>
                                        </a:cubicBezTo>
                                        <a:cubicBezTo>
                                          <a:pt x="48768" y="12192"/>
                                          <a:pt x="50292" y="18288"/>
                                          <a:pt x="50292" y="24384"/>
                                        </a:cubicBezTo>
                                        <a:cubicBezTo>
                                          <a:pt x="50292" y="32003"/>
                                          <a:pt x="48768" y="38100"/>
                                          <a:pt x="42672"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solidFill>
                                    <a:srgbClr val="000000"/>
                                  </a:solidFill>
                                  <a:ln>
                                    <a:noFill/>
                                  </a:ln>
                                </wps:spPr>
                                <wps:txbx>
                                  <w:txbxContent>
                                    <w:p w14:paraId="38B4E6AB" w14:textId="77777777" w:rsidR="00774361" w:rsidRDefault="00774361" w:rsidP="00774361">
                                      <w:pPr>
                                        <w:spacing w:after="0" w:line="240" w:lineRule="auto"/>
                                        <w:textDirection w:val="btLr"/>
                                      </w:pPr>
                                    </w:p>
                                  </w:txbxContent>
                                </wps:txbx>
                                <wps:bodyPr spcFirstLastPara="1" wrap="square" lIns="91425" tIns="91425" rIns="91425" bIns="91425" anchor="ctr" anchorCtr="0">
                                  <a:noAutofit/>
                                </wps:bodyPr>
                              </wps:wsp>
                              <wps:wsp>
                                <wps:cNvPr id="62181" name="Freeform 62181"/>
                                <wps:cNvSpPr/>
                                <wps:spPr>
                                  <a:xfrm>
                                    <a:off x="0" y="531876"/>
                                    <a:ext cx="50292" cy="50292"/>
                                  </a:xfrm>
                                  <a:custGeom>
                                    <a:avLst/>
                                    <a:gdLst/>
                                    <a:ahLst/>
                                    <a:cxnLst/>
                                    <a:rect l="l" t="t" r="r" b="b"/>
                                    <a:pathLst>
                                      <a:path w="50292" h="50292" extrusionOk="0">
                                        <a:moveTo>
                                          <a:pt x="25908" y="0"/>
                                        </a:moveTo>
                                        <a:cubicBezTo>
                                          <a:pt x="32004" y="0"/>
                                          <a:pt x="38100" y="1524"/>
                                          <a:pt x="42672" y="6096"/>
                                        </a:cubicBezTo>
                                        <a:cubicBezTo>
                                          <a:pt x="48768" y="12192"/>
                                          <a:pt x="50292" y="18288"/>
                                          <a:pt x="50292" y="24384"/>
                                        </a:cubicBezTo>
                                        <a:cubicBezTo>
                                          <a:pt x="50292" y="32003"/>
                                          <a:pt x="48768" y="38100"/>
                                          <a:pt x="42672"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solidFill>
                                    <a:srgbClr val="000000"/>
                                  </a:solidFill>
                                  <a:ln>
                                    <a:noFill/>
                                  </a:ln>
                                </wps:spPr>
                                <wps:txbx>
                                  <w:txbxContent>
                                    <w:p w14:paraId="5B20A3BD" w14:textId="77777777" w:rsidR="00774361" w:rsidRDefault="00774361" w:rsidP="00774361">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5B64D9D" id="Group 61952" o:spid="_x0000_s1026" style="position:absolute;margin-left:23pt;margin-top:3pt;width:3.95pt;height:45.85pt;z-index:251659264" coordorigin="53208,34889" coordsize="502,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">
                      <v:group id="Group 62176" o:spid="_x0000_s1027" style="position:absolute;left:53208;top:34889;width:503;height:5821" coordsize="502,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">
                        <v:rect id="Rectangle 62177" o:spid="_x0000_s1028" style="position:absolute;width:50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" filled="f" stroked="f">
                          <v:textbox inset="2.53958mm,2.53958mm,2.53958mm,2.53958mm">
                            <w:txbxContent>
                              <w:p w14:paraId="70293D4D" w14:textId="77777777" w:rsidR="00774361" w:rsidRDefault="00774361" w:rsidP="00774361">
                                <w:pPr>
                                  <w:spacing w:after="0" w:line="240" w:lineRule="auto"/>
                                  <w:textDirection w:val="btLr"/>
                                </w:pPr>
                              </w:p>
                            </w:txbxContent>
                          </v:textbox>
                        </v:rect>
                        <v:shape id="Freeform 62178" o:spid="_x0000_s1029" style="position:absolute;width:502;height:502;visibility:visible;mso-wrap-style:square;v-text-anchor:middle" coordsize="50292,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" adj="-11796480,,5400" path="m25908,v6096,,12192,1524,16764,6096c48768,12192,50292,18288,50292,24384v,7619,-1524,13716,-7620,18288c38100,47244,32004,50292,25908,50292v-7620,,-13716,-3048,-18288,-7620c3048,38100,,32003,,24384,,18288,3048,12192,7620,6096,12192,1524,18288,,25908,xe" fillcolor="black" stroked="f">
                          <v:stroke joinstyle="miter"/>
                          <v:formulas/>
                          <v:path arrowok="t" o:extrusionok="f" o:connecttype="custom" textboxrect="0,0,50292,50292"/>
                          <v:textbox inset="2.53958mm,2.53958mm,2.53958mm,2.53958mm">
                            <w:txbxContent>
                              <w:p w14:paraId="1BC42408" w14:textId="77777777" w:rsidR="00774361" w:rsidRDefault="00774361" w:rsidP="00774361">
                                <w:pPr>
                                  <w:spacing w:after="0" w:line="240" w:lineRule="auto"/>
                                  <w:textDirection w:val="btLr"/>
                                </w:pPr>
                              </w:p>
                            </w:txbxContent>
                          </v:textbox>
                        </v:shape>
                        <v:shape id="Freeform 62179" o:spid="_x0000_s1030" style="position:absolute;top:1767;width:502;height:503;visibility:visible;mso-wrap-style:square;v-text-anchor:middle" coordsize="50292,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" adj="-11796480,,5400" path="m25908,v6096,,12192,1524,16764,6096c48768,12192,50292,18288,50292,24384v,7619,-1524,13716,-7620,18288c38100,47244,32004,50292,25908,50292v-7620,,-13716,-3048,-18288,-7620c3048,38100,,32003,,24384,,18288,3048,12192,7620,6096,12192,1524,18288,,25908,xe" fillcolor="black" stroked="f">
                          <v:stroke joinstyle="miter"/>
                          <v:formulas/>
                          <v:path arrowok="t" o:extrusionok="f" o:connecttype="custom" textboxrect="0,0,50292,50292"/>
                          <v:textbox inset="2.53958mm,2.53958mm,2.53958mm,2.53958mm">
                            <w:txbxContent>
                              <w:p w14:paraId="7661D8F6" w14:textId="77777777" w:rsidR="00774361" w:rsidRDefault="00774361" w:rsidP="00774361">
                                <w:pPr>
                                  <w:spacing w:after="0" w:line="240" w:lineRule="auto"/>
                                  <w:textDirection w:val="btLr"/>
                                </w:pPr>
                              </w:p>
                            </w:txbxContent>
                          </v:textbox>
                        </v:shape>
                        <v:shape id="Freeform 62180" o:spid="_x0000_s1031" style="position:absolute;top:3550;width:502;height:503;visibility:visible;mso-wrap-style:square;v-text-anchor:middle" coordsize="50292,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" adj="-11796480,,5400" path="m25908,v6096,,12192,1524,16764,6096c48768,12192,50292,18288,50292,24384v,7619,-1524,13716,-7620,18288c38100,47244,32004,50292,25908,50292v-7620,,-13716,-3048,-18288,-7620c3048,38100,,32003,,24384,,18288,3048,12192,7620,6096,12192,1524,18288,,25908,xe" fillcolor="black" stroked="f">
                          <v:stroke joinstyle="miter"/>
                          <v:formulas/>
                          <v:path arrowok="t" o:extrusionok="f" o:connecttype="custom" textboxrect="0,0,50292,50292"/>
                          <v:textbox inset="2.53958mm,2.53958mm,2.53958mm,2.53958mm">
                            <w:txbxContent>
                              <w:p w14:paraId="38B4E6AB" w14:textId="77777777" w:rsidR="00774361" w:rsidRDefault="00774361" w:rsidP="00774361">
                                <w:pPr>
                                  <w:spacing w:after="0" w:line="240" w:lineRule="auto"/>
                                  <w:textDirection w:val="btLr"/>
                                </w:pPr>
                              </w:p>
                            </w:txbxContent>
                          </v:textbox>
                        </v:shape>
                        <v:shape id="Freeform 62181" o:spid="_x0000_s1032" style="position:absolute;top:5318;width:502;height:503;visibility:visible;mso-wrap-style:square;v-text-anchor:middle" coordsize="50292,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" adj="-11796480,,5400" path="m25908,v6096,,12192,1524,16764,6096c48768,12192,50292,18288,50292,24384v,7619,-1524,13716,-7620,18288c38100,47244,32004,50292,25908,50292v-7620,,-13716,-3048,-18288,-7620c3048,38100,,32003,,24384,,18288,3048,12192,7620,6096,12192,1524,18288,,25908,xe" fillcolor="black" stroked="f">
                          <v:stroke joinstyle="miter"/>
                          <v:formulas/>
                          <v:path arrowok="t" o:extrusionok="f" o:connecttype="custom" textboxrect="0,0,50292,50292"/>
                          <v:textbox inset="2.53958mm,2.53958mm,2.53958mm,2.53958mm">
                            <w:txbxContent>
                              <w:p w14:paraId="5B20A3BD" w14:textId="77777777" w:rsidR="00774361" w:rsidRDefault="00774361" w:rsidP="00774361">
                                <w:pPr>
                                  <w:spacing w:after="0" w:line="240" w:lineRule="auto"/>
                                  <w:textDirection w:val="btLr"/>
                                </w:pPr>
                              </w:p>
                            </w:txbxContent>
                          </v:textbox>
                        </v:shape>
                      </v:group>
                      <w10:wrap type="square"/>
                    </v:group>
                  </w:pict>
                </mc:Fallback>
              </mc:AlternateContent>
            </w:r>
          </w:p>
          <w:p w14:paraId="2BBA558E" w14:textId="77777777" w:rsidR="00774361" w:rsidRPr="00774361" w:rsidRDefault="00774361" w:rsidP="00EA2DE4">
            <w:pPr>
              <w:tabs>
                <w:tab w:val="center" w:pos="461"/>
                <w:tab w:val="center" w:pos="1993"/>
              </w:tabs>
              <w:spacing w:after="19"/>
              <w:rPr>
                <w:rFonts w:ascii="Calibri" w:eastAsia="Calibri" w:hAnsi="Calibri" w:cs="Calibri"/>
              </w:rPr>
            </w:pPr>
            <w:r w:rsidRPr="00774361">
              <w:rPr>
                <w:rFonts w:ascii="Calibri" w:eastAsia="Calibri" w:hAnsi="Calibri" w:cs="Calibri"/>
              </w:rPr>
              <w:t>Workplace work placements (for Placement Capstone only)</w:t>
            </w:r>
          </w:p>
          <w:p w14:paraId="2670FAB6" w14:textId="77777777" w:rsidR="00774361" w:rsidRPr="00774361" w:rsidRDefault="00774361" w:rsidP="00EA2DE4">
            <w:pPr>
              <w:tabs>
                <w:tab w:val="center" w:pos="461"/>
                <w:tab w:val="center" w:pos="2540"/>
              </w:tabs>
              <w:spacing w:after="17"/>
              <w:rPr>
                <w:rFonts w:ascii="Calibri" w:eastAsia="Calibri" w:hAnsi="Calibri" w:cs="Calibri"/>
              </w:rPr>
            </w:pPr>
            <w:r w:rsidRPr="00774361">
              <w:rPr>
                <w:rFonts w:ascii="Calibri" w:eastAsia="Calibri" w:hAnsi="Calibri" w:cs="Calibri"/>
              </w:rPr>
              <w:t xml:space="preserve">Online (tutorials, lectures, delivered live) </w:t>
            </w:r>
          </w:p>
          <w:p w14:paraId="574ECE97" w14:textId="77777777" w:rsidR="00774361" w:rsidRPr="00774361" w:rsidRDefault="00774361" w:rsidP="00EA2DE4">
            <w:pPr>
              <w:tabs>
                <w:tab w:val="center" w:pos="461"/>
                <w:tab w:val="center" w:pos="3051"/>
              </w:tabs>
              <w:spacing w:after="0"/>
              <w:rPr>
                <w:rFonts w:ascii="Calibri" w:eastAsia="Calibri" w:hAnsi="Calibri" w:cs="Calibri"/>
              </w:rPr>
            </w:pPr>
            <w:r w:rsidRPr="00774361">
              <w:rPr>
                <w:rFonts w:ascii="Calibri" w:eastAsia="Calibri" w:hAnsi="Calibri" w:cs="Calibri"/>
              </w:rPr>
              <w:t xml:space="preserve">Asynchronous (online content available on demand) </w:t>
            </w:r>
          </w:p>
        </w:tc>
      </w:tr>
      <w:tr w:rsidR="00774361" w:rsidRPr="00774361" w14:paraId="0BFA7DAF" w14:textId="77777777" w:rsidTr="00EA2DE4">
        <w:trPr>
          <w:trHeight w:val="705"/>
        </w:trPr>
        <w:tc>
          <w:tcPr>
            <w:tcW w:w="9073" w:type="dxa"/>
            <w:gridSpan w:val="4"/>
            <w:tcBorders>
              <w:top w:val="single" w:sz="5" w:space="0" w:color="000000"/>
              <w:left w:val="single" w:sz="5" w:space="0" w:color="000000"/>
              <w:bottom w:val="single" w:sz="5" w:space="0" w:color="000000"/>
              <w:right w:val="single" w:sz="5" w:space="0" w:color="000000"/>
            </w:tcBorders>
            <w:shd w:val="clear" w:color="auto" w:fill="DEEAF6"/>
          </w:tcPr>
          <w:p w14:paraId="286A2AD9"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Brief synopsis of the programme (</w:t>
            </w:r>
            <w:proofErr w:type="gramStart"/>
            <w:r w:rsidRPr="00774361">
              <w:rPr>
                <w:rFonts w:ascii="Calibri" w:eastAsia="Calibri" w:hAnsi="Calibri" w:cs="Calibri"/>
              </w:rPr>
              <w:t>e.g.</w:t>
            </w:r>
            <w:proofErr w:type="gramEnd"/>
            <w:r w:rsidRPr="00774361">
              <w:rPr>
                <w:rFonts w:ascii="Calibri" w:eastAsia="Calibri" w:hAnsi="Calibri" w:cs="Calibri"/>
              </w:rPr>
              <w:t xml:space="preserve"> who it is for, what is it for, what is involved for learners, what it leads to.) </w:t>
            </w:r>
          </w:p>
        </w:tc>
      </w:tr>
      <w:tr w:rsidR="00774361" w:rsidRPr="00774361" w14:paraId="59267044" w14:textId="77777777" w:rsidTr="00EA2DE4">
        <w:trPr>
          <w:trHeight w:val="2280"/>
        </w:trPr>
        <w:tc>
          <w:tcPr>
            <w:tcW w:w="9073" w:type="dxa"/>
            <w:gridSpan w:val="4"/>
            <w:tcBorders>
              <w:top w:val="single" w:sz="5" w:space="0" w:color="000000"/>
              <w:left w:val="single" w:sz="5" w:space="0" w:color="000000"/>
              <w:bottom w:val="single" w:sz="5" w:space="0" w:color="000000"/>
              <w:right w:val="single" w:sz="5" w:space="0" w:color="000000"/>
            </w:tcBorders>
          </w:tcPr>
          <w:p w14:paraId="23B4548E" w14:textId="77777777" w:rsidR="00774361" w:rsidRPr="00774361" w:rsidRDefault="00774361" w:rsidP="00EA2DE4">
            <w:pPr>
              <w:spacing w:after="241" w:line="272" w:lineRule="auto"/>
              <w:rPr>
                <w:rFonts w:ascii="Calibri" w:eastAsia="Calibri" w:hAnsi="Calibri" w:cs="Calibri"/>
              </w:rPr>
            </w:pPr>
            <w:r w:rsidRPr="00774361">
              <w:rPr>
                <w:rFonts w:ascii="Calibri" w:eastAsia="Calibri" w:hAnsi="Calibri" w:cs="Calibri"/>
              </w:rPr>
              <w:t>The Postgraduate Diploma in Science in Health Psychology (60 ECTS, NFQ Level 9) is an embedded exit award from the Master of Science in Health Psychology (90 ECTS, NFQ Level 9). The programme shares the 60 ECTS taught component of this programme and is offered to learners who do not progress to, or wish to complete, the research component of the full Masters programme.</w:t>
            </w:r>
          </w:p>
          <w:p w14:paraId="581C84FB" w14:textId="77777777" w:rsidR="00774361" w:rsidRPr="00774361" w:rsidRDefault="00774361" w:rsidP="00EA2DE4">
            <w:pPr>
              <w:spacing w:after="0"/>
              <w:jc w:val="both"/>
              <w:rPr>
                <w:rFonts w:ascii="Calibri" w:eastAsia="Calibri" w:hAnsi="Calibri" w:cs="Calibri"/>
              </w:rPr>
            </w:pPr>
            <w:r w:rsidRPr="00774361">
              <w:rPr>
                <w:rFonts w:ascii="Calibri" w:eastAsia="Calibri" w:hAnsi="Calibri" w:cs="Calibri"/>
              </w:rPr>
              <w:t>The Postgraduate Diploma in Science in Health Psychology can be completed in one academic year by full-time learners and eighteen months by part-time learners. The overall aim of the programme is to provide graduates with the opportunity to attain a Level 9 award if they cannot complete the research component of this programme for personal or professional reasons. Therefore, the Postgraduate in Science in Health Psychology (60 ECTS, NFQ Level 9) is offered only as an exit award from the Masters programme.</w:t>
            </w:r>
          </w:p>
        </w:tc>
      </w:tr>
      <w:tr w:rsidR="00774361" w:rsidRPr="00774361" w14:paraId="7C59F0E8" w14:textId="77777777" w:rsidTr="00EA2DE4">
        <w:trPr>
          <w:trHeight w:val="278"/>
        </w:trPr>
        <w:tc>
          <w:tcPr>
            <w:tcW w:w="6659" w:type="dxa"/>
            <w:gridSpan w:val="3"/>
            <w:tcBorders>
              <w:top w:val="single" w:sz="5" w:space="0" w:color="000000"/>
              <w:left w:val="single" w:sz="5" w:space="0" w:color="000000"/>
              <w:bottom w:val="single" w:sz="4" w:space="0" w:color="auto"/>
              <w:right w:val="single" w:sz="5" w:space="0" w:color="000000"/>
            </w:tcBorders>
            <w:shd w:val="clear" w:color="auto" w:fill="DEEAF6"/>
          </w:tcPr>
          <w:p w14:paraId="32ADCDCD"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Summary of specifications for teaching staff </w:t>
            </w:r>
          </w:p>
        </w:tc>
        <w:tc>
          <w:tcPr>
            <w:tcW w:w="2414" w:type="dxa"/>
            <w:tcBorders>
              <w:top w:val="single" w:sz="5" w:space="0" w:color="000000"/>
              <w:left w:val="single" w:sz="5" w:space="0" w:color="000000"/>
              <w:bottom w:val="single" w:sz="4" w:space="0" w:color="auto"/>
              <w:right w:val="single" w:sz="5" w:space="0" w:color="000000"/>
            </w:tcBorders>
            <w:shd w:val="clear" w:color="auto" w:fill="DEEAF6"/>
          </w:tcPr>
          <w:p w14:paraId="50BCF6EE" w14:textId="77777777" w:rsidR="00774361" w:rsidRPr="00774361" w:rsidRDefault="00774361" w:rsidP="00EA2DE4">
            <w:pPr>
              <w:spacing w:after="0"/>
              <w:ind w:left="3"/>
              <w:rPr>
                <w:rFonts w:ascii="Calibri" w:eastAsia="Calibri" w:hAnsi="Calibri" w:cs="Calibri"/>
              </w:rPr>
            </w:pPr>
            <w:r w:rsidRPr="00774361">
              <w:rPr>
                <w:rFonts w:ascii="Calibri" w:eastAsia="Calibri" w:hAnsi="Calibri" w:cs="Calibri"/>
              </w:rPr>
              <w:t xml:space="preserve">WTE </w:t>
            </w:r>
          </w:p>
        </w:tc>
      </w:tr>
      <w:tr w:rsidR="00774361" w:rsidRPr="00774361" w14:paraId="72AD8167" w14:textId="77777777" w:rsidTr="00EA2DE4">
        <w:trPr>
          <w:trHeight w:val="294"/>
        </w:trPr>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7BFC6E"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b/>
              </w:rPr>
              <w:t>Role e.g., Lecturer, Mentor, Librarian</w:t>
            </w:r>
          </w:p>
        </w:tc>
        <w:tc>
          <w:tcPr>
            <w:tcW w:w="46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8FBD16"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b/>
              </w:rPr>
              <w:t>Profile (Qualifications and Experience expected)</w:t>
            </w:r>
          </w:p>
        </w:tc>
        <w:tc>
          <w:tcPr>
            <w:tcW w:w="24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5C684"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b/>
              </w:rPr>
              <w:t>No. (WTEs</w:t>
            </w:r>
            <w:r w:rsidRPr="00774361">
              <w:rPr>
                <w:rFonts w:ascii="Calibri" w:eastAsia="Calibri" w:hAnsi="Calibri" w:cs="Calibri"/>
                <w:b/>
                <w:vertAlign w:val="superscript"/>
              </w:rPr>
              <w:footnoteReference w:id="2"/>
            </w:r>
            <w:r w:rsidRPr="00774361">
              <w:rPr>
                <w:rFonts w:ascii="Calibri" w:eastAsia="Calibri" w:hAnsi="Calibri" w:cs="Calibri"/>
                <w:b/>
              </w:rPr>
              <w:t xml:space="preserve">) of Staff on the programme with this role and profile </w:t>
            </w:r>
          </w:p>
        </w:tc>
      </w:tr>
      <w:tr w:rsidR="00774361" w:rsidRPr="00774361" w14:paraId="19C39428" w14:textId="77777777" w:rsidTr="00EA2DE4">
        <w:trPr>
          <w:trHeight w:val="1134"/>
        </w:trPr>
        <w:tc>
          <w:tcPr>
            <w:tcW w:w="1980" w:type="dxa"/>
            <w:tcBorders>
              <w:top w:val="single" w:sz="4" w:space="0" w:color="auto"/>
              <w:left w:val="single" w:sz="5" w:space="0" w:color="000000"/>
              <w:bottom w:val="single" w:sz="5" w:space="0" w:color="000000"/>
              <w:right w:val="single" w:sz="5" w:space="0" w:color="000000"/>
            </w:tcBorders>
          </w:tcPr>
          <w:p w14:paraId="054A4941"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highlight w:val="white"/>
              </w:rPr>
              <w:t>Lecturer</w:t>
            </w:r>
          </w:p>
        </w:tc>
        <w:tc>
          <w:tcPr>
            <w:tcW w:w="4679" w:type="dxa"/>
            <w:gridSpan w:val="2"/>
            <w:tcBorders>
              <w:top w:val="single" w:sz="4" w:space="0" w:color="auto"/>
              <w:left w:val="single" w:sz="5" w:space="0" w:color="000000"/>
              <w:bottom w:val="single" w:sz="5" w:space="0" w:color="000000"/>
              <w:right w:val="single" w:sz="5" w:space="0" w:color="000000"/>
            </w:tcBorders>
          </w:tcPr>
          <w:p w14:paraId="0DE8E768" w14:textId="77777777" w:rsidR="00774361" w:rsidRPr="00774361" w:rsidRDefault="00774361" w:rsidP="00EA2DE4">
            <w:pPr>
              <w:spacing w:after="120"/>
              <w:ind w:left="5" w:hanging="5"/>
              <w:rPr>
                <w:rFonts w:ascii="Calibri" w:eastAsia="Calibri" w:hAnsi="Calibri" w:cs="Calibri"/>
              </w:rPr>
            </w:pPr>
            <w:r w:rsidRPr="00774361">
              <w:rPr>
                <w:rFonts w:ascii="Calibri" w:eastAsia="Calibri" w:hAnsi="Calibri" w:cs="Calibri"/>
              </w:rPr>
              <w:t>Faculty delivering this programme will have a minimum of a Level 9 Master’s Degree or PhD in Psychology or a relevant discipline. Additionally, experienced practitioners within the fields of, for example, addiction and rehabilitation, and those with research supervision experience from both quantitative and qualitative approaches are required to deliver the programme. They will have relevant academic and industry knowledge and experience in a range of pertinent fields related to Health Psychology.</w:t>
            </w:r>
          </w:p>
          <w:p w14:paraId="3B023B60"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Holders of Level 8 honours Bachelor's degrees in a relevant discipline, who are exceptionally qualified by virtue of significant senior industry experience, will also be considered.</w:t>
            </w:r>
          </w:p>
        </w:tc>
        <w:tc>
          <w:tcPr>
            <w:tcW w:w="2414" w:type="dxa"/>
            <w:tcBorders>
              <w:top w:val="single" w:sz="4" w:space="0" w:color="auto"/>
              <w:left w:val="single" w:sz="5" w:space="0" w:color="000000"/>
              <w:bottom w:val="single" w:sz="5" w:space="0" w:color="000000"/>
              <w:right w:val="single" w:sz="5" w:space="0" w:color="000000"/>
            </w:tcBorders>
          </w:tcPr>
          <w:p w14:paraId="5FACAD5C" w14:textId="77777777" w:rsidR="00774361" w:rsidRPr="00774361" w:rsidRDefault="00774361" w:rsidP="00EA2DE4">
            <w:pPr>
              <w:rPr>
                <w:rFonts w:ascii="Calibri" w:eastAsia="Calibri" w:hAnsi="Calibri" w:cs="Calibri"/>
              </w:rPr>
            </w:pPr>
            <w:r w:rsidRPr="00774361">
              <w:rPr>
                <w:rFonts w:ascii="Calibri" w:eastAsia="Calibri" w:hAnsi="Calibri" w:cs="Calibri"/>
              </w:rPr>
              <w:t>5 full-time lecturers and 2 part-time lecturers.</w:t>
            </w:r>
          </w:p>
          <w:p w14:paraId="7E839A4E"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This programme can be delivered through current faculty.</w:t>
            </w:r>
          </w:p>
        </w:tc>
      </w:tr>
      <w:tr w:rsidR="00774361" w:rsidRPr="00774361" w14:paraId="70621075" w14:textId="77777777" w:rsidTr="00EA2DE4">
        <w:trPr>
          <w:trHeight w:val="934"/>
        </w:trPr>
        <w:tc>
          <w:tcPr>
            <w:tcW w:w="1980" w:type="dxa"/>
            <w:tcBorders>
              <w:top w:val="single" w:sz="5" w:space="0" w:color="000000"/>
              <w:left w:val="single" w:sz="5" w:space="0" w:color="000000"/>
              <w:bottom w:val="single" w:sz="5" w:space="0" w:color="000000"/>
              <w:right w:val="single" w:sz="5" w:space="0" w:color="000000"/>
            </w:tcBorders>
          </w:tcPr>
          <w:p w14:paraId="7F1772B5"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highlight w:val="white"/>
              </w:rPr>
              <w:t>Administration and Support Staff</w:t>
            </w:r>
          </w:p>
        </w:tc>
        <w:tc>
          <w:tcPr>
            <w:tcW w:w="4679" w:type="dxa"/>
            <w:gridSpan w:val="2"/>
            <w:tcBorders>
              <w:top w:val="single" w:sz="5" w:space="0" w:color="000000"/>
              <w:left w:val="single" w:sz="5" w:space="0" w:color="000000"/>
              <w:bottom w:val="single" w:sz="5" w:space="0" w:color="000000"/>
              <w:right w:val="single" w:sz="5" w:space="0" w:color="000000"/>
            </w:tcBorders>
          </w:tcPr>
          <w:p w14:paraId="41988217"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highlight w:val="white"/>
              </w:rPr>
              <w:t>Such as Library, Admissions, Student Experience, Finance etc. Experience and qualifications relevant to the role.</w:t>
            </w:r>
          </w:p>
        </w:tc>
        <w:tc>
          <w:tcPr>
            <w:tcW w:w="2414" w:type="dxa"/>
            <w:tcBorders>
              <w:top w:val="single" w:sz="5" w:space="0" w:color="000000"/>
              <w:left w:val="single" w:sz="5" w:space="0" w:color="000000"/>
              <w:bottom w:val="single" w:sz="5" w:space="0" w:color="000000"/>
              <w:right w:val="single" w:sz="5" w:space="0" w:color="000000"/>
            </w:tcBorders>
          </w:tcPr>
          <w:p w14:paraId="12C37B68"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0.64</w:t>
            </w:r>
          </w:p>
        </w:tc>
      </w:tr>
      <w:tr w:rsidR="00774361" w:rsidRPr="00774361" w14:paraId="6FAB9086" w14:textId="77777777" w:rsidTr="00EA2DE4">
        <w:trPr>
          <w:trHeight w:val="1483"/>
        </w:trPr>
        <w:tc>
          <w:tcPr>
            <w:tcW w:w="1980" w:type="dxa"/>
            <w:tcBorders>
              <w:top w:val="single" w:sz="5" w:space="0" w:color="000000"/>
              <w:left w:val="single" w:sz="5" w:space="0" w:color="000000"/>
              <w:bottom w:val="single" w:sz="5" w:space="0" w:color="000000"/>
              <w:right w:val="single" w:sz="5" w:space="0" w:color="000000"/>
            </w:tcBorders>
          </w:tcPr>
          <w:p w14:paraId="7D1E43DF"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Academic Director</w:t>
            </w:r>
          </w:p>
        </w:tc>
        <w:tc>
          <w:tcPr>
            <w:tcW w:w="4679" w:type="dxa"/>
            <w:gridSpan w:val="2"/>
            <w:tcBorders>
              <w:top w:val="single" w:sz="5" w:space="0" w:color="000000"/>
              <w:left w:val="single" w:sz="5" w:space="0" w:color="000000"/>
              <w:bottom w:val="single" w:sz="5" w:space="0" w:color="000000"/>
              <w:right w:val="single" w:sz="5" w:space="0" w:color="000000"/>
            </w:tcBorders>
          </w:tcPr>
          <w:p w14:paraId="0D1ECD75"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The Academic Director for this programme will have a minimum of a NFQ Level 10 qualification in Psychology or a related area along with programme management/ academic leadership experience.</w:t>
            </w:r>
          </w:p>
        </w:tc>
        <w:tc>
          <w:tcPr>
            <w:tcW w:w="2414" w:type="dxa"/>
            <w:tcBorders>
              <w:top w:val="single" w:sz="5" w:space="0" w:color="000000"/>
              <w:left w:val="single" w:sz="5" w:space="0" w:color="000000"/>
              <w:bottom w:val="single" w:sz="5" w:space="0" w:color="000000"/>
              <w:right w:val="single" w:sz="5" w:space="0" w:color="000000"/>
            </w:tcBorders>
          </w:tcPr>
          <w:p w14:paraId="71BCB653"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0.1</w:t>
            </w:r>
          </w:p>
        </w:tc>
      </w:tr>
      <w:tr w:rsidR="00774361" w:rsidRPr="00774361" w14:paraId="0108F396" w14:textId="77777777" w:rsidTr="00EA2DE4">
        <w:trPr>
          <w:trHeight w:val="1054"/>
        </w:trPr>
        <w:tc>
          <w:tcPr>
            <w:tcW w:w="1980" w:type="dxa"/>
            <w:tcBorders>
              <w:top w:val="single" w:sz="5" w:space="0" w:color="000000"/>
              <w:left w:val="single" w:sz="5" w:space="0" w:color="000000"/>
              <w:bottom w:val="single" w:sz="5" w:space="0" w:color="000000"/>
              <w:right w:val="single" w:sz="5" w:space="0" w:color="000000"/>
            </w:tcBorders>
          </w:tcPr>
          <w:p w14:paraId="23D466FB"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Subject Leader</w:t>
            </w:r>
          </w:p>
        </w:tc>
        <w:tc>
          <w:tcPr>
            <w:tcW w:w="4679" w:type="dxa"/>
            <w:gridSpan w:val="2"/>
            <w:tcBorders>
              <w:top w:val="single" w:sz="5" w:space="0" w:color="000000"/>
              <w:left w:val="single" w:sz="5" w:space="0" w:color="000000"/>
              <w:bottom w:val="single" w:sz="5" w:space="0" w:color="000000"/>
              <w:right w:val="single" w:sz="5" w:space="0" w:color="000000"/>
            </w:tcBorders>
          </w:tcPr>
          <w:p w14:paraId="267F803B"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The Subject Leader for this programme will have a minimum of a NFQ Level 10 qualification in Psychology along with programme management/and subject area expertise.</w:t>
            </w:r>
          </w:p>
        </w:tc>
        <w:tc>
          <w:tcPr>
            <w:tcW w:w="2414" w:type="dxa"/>
            <w:tcBorders>
              <w:top w:val="single" w:sz="5" w:space="0" w:color="000000"/>
              <w:left w:val="single" w:sz="5" w:space="0" w:color="000000"/>
              <w:bottom w:val="single" w:sz="5" w:space="0" w:color="000000"/>
              <w:right w:val="single" w:sz="5" w:space="0" w:color="000000"/>
            </w:tcBorders>
          </w:tcPr>
          <w:p w14:paraId="04671122" w14:textId="77777777" w:rsidR="00774361" w:rsidRPr="00774361" w:rsidRDefault="00774361" w:rsidP="00EA2DE4">
            <w:pPr>
              <w:spacing w:after="0"/>
              <w:ind w:left="3" w:right="50"/>
              <w:jc w:val="both"/>
              <w:rPr>
                <w:rFonts w:ascii="Calibri" w:eastAsia="Calibri" w:hAnsi="Calibri" w:cs="Calibri"/>
              </w:rPr>
            </w:pPr>
            <w:r w:rsidRPr="00774361">
              <w:rPr>
                <w:rFonts w:ascii="Calibri" w:eastAsia="Calibri" w:hAnsi="Calibri" w:cs="Calibri"/>
              </w:rPr>
              <w:t>0.5</w:t>
            </w:r>
          </w:p>
        </w:tc>
      </w:tr>
    </w:tbl>
    <w:p w14:paraId="4F7577BD" w14:textId="77777777" w:rsidR="00774361" w:rsidRPr="00774361" w:rsidRDefault="00774361" w:rsidP="00774361">
      <w:pPr>
        <w:spacing w:after="0"/>
        <w:rPr>
          <w:rFonts w:ascii="Calibri" w:eastAsia="Calibri" w:hAnsi="Calibri" w:cs="Calibri"/>
        </w:rPr>
      </w:pPr>
      <w:r w:rsidRPr="00774361">
        <w:rPr>
          <w:rFonts w:ascii="Calibri" w:eastAsia="Calibri" w:hAnsi="Calibri" w:cs="Calibri"/>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774361" w:rsidRPr="00774361" w14:paraId="7D9DD502" w14:textId="77777777" w:rsidTr="00EA2DE4">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F7AFB" w14:textId="77777777" w:rsidR="00774361" w:rsidRPr="00774361" w:rsidRDefault="00774361" w:rsidP="00EA2DE4">
            <w:pPr>
              <w:spacing w:after="0" w:line="240" w:lineRule="auto"/>
              <w:rPr>
                <w:rFonts w:eastAsia="Times New Roman" w:cstheme="minorHAnsi"/>
                <w:b/>
              </w:rPr>
            </w:pPr>
            <w:r w:rsidRPr="00774361">
              <w:rPr>
                <w:rFonts w:eastAsia="Times New Roman" w:cstheme="minorHAnsi"/>
                <w:b/>
              </w:rPr>
              <w:t>The teaching and learning methodologies</w:t>
            </w:r>
            <w:r w:rsidRPr="00774361">
              <w:rPr>
                <w:rFonts w:eastAsia="Times New Roman" w:cstheme="minorHAnsi"/>
                <w:b/>
              </w:rPr>
              <w:br/>
            </w:r>
          </w:p>
        </w:tc>
      </w:tr>
      <w:tr w:rsidR="00774361" w:rsidRPr="00774361" w14:paraId="5EDA4591"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B01A829" w14:textId="77777777" w:rsidR="00774361" w:rsidRPr="00774361" w:rsidRDefault="00774361" w:rsidP="00EA2DE4">
            <w:pPr>
              <w:rPr>
                <w:rFonts w:ascii="Calibri" w:eastAsia="Calibri" w:hAnsi="Calibri" w:cs="Calibri"/>
                <w:b/>
              </w:rPr>
            </w:pPr>
            <w:r w:rsidRPr="00774361">
              <w:rPr>
                <w:rFonts w:ascii="Calibri" w:eastAsia="Calibri" w:hAnsi="Calibri" w:cs="Calibri"/>
                <w:b/>
              </w:rPr>
              <w:t>Methodology / Learning 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99CFF3D" w14:textId="77777777" w:rsidR="00774361" w:rsidRPr="00774361" w:rsidRDefault="00774361" w:rsidP="00EA2DE4">
            <w:pPr>
              <w:rPr>
                <w:rFonts w:ascii="Calibri" w:eastAsia="Calibri" w:hAnsi="Calibri" w:cs="Calibri"/>
                <w:b/>
              </w:rPr>
            </w:pPr>
            <w:r w:rsidRPr="00774361">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cPr>
          <w:p w14:paraId="16F8B8E7" w14:textId="77777777" w:rsidR="00774361" w:rsidRPr="00774361" w:rsidRDefault="00774361" w:rsidP="00EA2DE4">
            <w:pPr>
              <w:rPr>
                <w:rFonts w:ascii="Calibri" w:eastAsia="Calibri" w:hAnsi="Calibri" w:cs="Calibri"/>
                <w:b/>
              </w:rPr>
            </w:pPr>
            <w:r w:rsidRPr="00774361">
              <w:rPr>
                <w:rFonts w:ascii="Calibri" w:eastAsia="Calibri" w:hAnsi="Calibri" w:cs="Calibri"/>
                <w:b/>
              </w:rPr>
              <w:t>Staff to Learner Ratio e.g., 1:12</w:t>
            </w:r>
          </w:p>
        </w:tc>
      </w:tr>
      <w:tr w:rsidR="00774361" w:rsidRPr="00774361" w14:paraId="6A76EFC4"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6ABA8BC" w14:textId="77777777" w:rsidR="00774361" w:rsidRPr="00774361" w:rsidRDefault="00774361" w:rsidP="00EA2DE4">
            <w:pPr>
              <w:rPr>
                <w:rFonts w:ascii="Calibri" w:eastAsia="Calibri" w:hAnsi="Calibri" w:cs="Calibri"/>
              </w:rPr>
            </w:pPr>
            <w:r w:rsidRPr="00774361">
              <w:rPr>
                <w:rFonts w:ascii="Calibri" w:eastAsia="Calibri" w:hAnsi="Calibri" w:cs="Calibri"/>
              </w:rPr>
              <w:t>Lecture classroom-based sessions</w:t>
            </w:r>
          </w:p>
        </w:tc>
        <w:tc>
          <w:tcPr>
            <w:tcW w:w="3969" w:type="dxa"/>
            <w:tcBorders>
              <w:top w:val="single" w:sz="4" w:space="0" w:color="000000"/>
              <w:left w:val="single" w:sz="4" w:space="0" w:color="000000"/>
              <w:bottom w:val="single" w:sz="4" w:space="0" w:color="000000"/>
              <w:right w:val="single" w:sz="4" w:space="0" w:color="000000"/>
            </w:tcBorders>
          </w:tcPr>
          <w:p w14:paraId="32752511" w14:textId="77777777" w:rsidR="00774361" w:rsidRPr="00774361" w:rsidRDefault="00774361" w:rsidP="00EA2DE4">
            <w:pPr>
              <w:rPr>
                <w:rFonts w:ascii="Calibri" w:eastAsia="Calibri" w:hAnsi="Calibri" w:cs="Calibri"/>
              </w:rPr>
            </w:pPr>
            <w:r w:rsidRPr="00774361">
              <w:rPr>
                <w:rFonts w:ascii="Calibri" w:eastAsia="Calibri" w:hAnsi="Calibri" w:cs="Calibri"/>
              </w:rPr>
              <w:t>Face to face on site lecture-led classroom-based sessions</w:t>
            </w:r>
          </w:p>
        </w:tc>
        <w:tc>
          <w:tcPr>
            <w:tcW w:w="1842" w:type="dxa"/>
            <w:tcBorders>
              <w:top w:val="single" w:sz="4" w:space="0" w:color="000000"/>
              <w:left w:val="single" w:sz="4" w:space="0" w:color="000000"/>
              <w:bottom w:val="single" w:sz="4" w:space="0" w:color="000000"/>
              <w:right w:val="single" w:sz="4" w:space="0" w:color="000000"/>
            </w:tcBorders>
          </w:tcPr>
          <w:p w14:paraId="531BBEE3" w14:textId="77777777" w:rsidR="00774361" w:rsidRPr="00774361" w:rsidRDefault="00774361" w:rsidP="00EA2DE4">
            <w:pPr>
              <w:rPr>
                <w:rFonts w:ascii="Calibri" w:eastAsia="Calibri" w:hAnsi="Calibri" w:cs="Calibri"/>
              </w:rPr>
            </w:pPr>
            <w:r w:rsidRPr="00774361">
              <w:rPr>
                <w:rFonts w:ascii="Calibri" w:eastAsia="Calibri" w:hAnsi="Calibri" w:cs="Calibri"/>
              </w:rPr>
              <w:t>1:50</w:t>
            </w:r>
          </w:p>
        </w:tc>
      </w:tr>
      <w:tr w:rsidR="00774361" w:rsidRPr="00774361" w14:paraId="58268BA6"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FD92238" w14:textId="77777777" w:rsidR="00774361" w:rsidRPr="00774361" w:rsidRDefault="00774361" w:rsidP="00EA2DE4">
            <w:pPr>
              <w:rPr>
                <w:rFonts w:ascii="Calibri" w:eastAsia="Calibri" w:hAnsi="Calibri" w:cs="Calibri"/>
              </w:rPr>
            </w:pPr>
            <w:r w:rsidRPr="00774361">
              <w:rPr>
                <w:rFonts w:ascii="Calibri" w:eastAsia="Calibri" w:hAnsi="Calibri" w:cs="Calibri"/>
              </w:rPr>
              <w:t xml:space="preserve">Workshops </w:t>
            </w:r>
          </w:p>
        </w:tc>
        <w:tc>
          <w:tcPr>
            <w:tcW w:w="3969" w:type="dxa"/>
            <w:tcBorders>
              <w:top w:val="single" w:sz="4" w:space="0" w:color="000000"/>
              <w:left w:val="single" w:sz="4" w:space="0" w:color="000000"/>
              <w:bottom w:val="single" w:sz="4" w:space="0" w:color="000000"/>
              <w:right w:val="single" w:sz="4" w:space="0" w:color="000000"/>
            </w:tcBorders>
          </w:tcPr>
          <w:p w14:paraId="7802AD62" w14:textId="77777777" w:rsidR="00774361" w:rsidRPr="00774361" w:rsidRDefault="00774361" w:rsidP="00EA2DE4">
            <w:pPr>
              <w:rPr>
                <w:rFonts w:ascii="Calibri" w:eastAsia="Calibri" w:hAnsi="Calibri" w:cs="Calibri"/>
              </w:rPr>
            </w:pPr>
            <w:r w:rsidRPr="00774361">
              <w:rPr>
                <w:rFonts w:ascii="Calibri" w:eastAsia="Calibri" w:hAnsi="Calibri" w:cs="Calibri"/>
              </w:rPr>
              <w:t>Face to face on site workshops</w:t>
            </w:r>
          </w:p>
        </w:tc>
        <w:tc>
          <w:tcPr>
            <w:tcW w:w="1842" w:type="dxa"/>
            <w:tcBorders>
              <w:top w:val="single" w:sz="4" w:space="0" w:color="000000"/>
              <w:left w:val="single" w:sz="4" w:space="0" w:color="000000"/>
              <w:bottom w:val="single" w:sz="4" w:space="0" w:color="000000"/>
              <w:right w:val="single" w:sz="4" w:space="0" w:color="000000"/>
            </w:tcBorders>
          </w:tcPr>
          <w:p w14:paraId="19C2904D" w14:textId="77777777" w:rsidR="00774361" w:rsidRPr="00774361" w:rsidRDefault="00774361" w:rsidP="00EA2DE4">
            <w:pPr>
              <w:rPr>
                <w:rFonts w:ascii="Calibri" w:eastAsia="Calibri" w:hAnsi="Calibri" w:cs="Calibri"/>
              </w:rPr>
            </w:pPr>
            <w:r w:rsidRPr="00774361">
              <w:rPr>
                <w:rFonts w:ascii="Calibri" w:eastAsia="Calibri" w:hAnsi="Calibri" w:cs="Calibri"/>
              </w:rPr>
              <w:t>1:25</w:t>
            </w:r>
          </w:p>
        </w:tc>
      </w:tr>
      <w:tr w:rsidR="00774361" w:rsidRPr="00774361" w14:paraId="2B82DDBB"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9C8498D" w14:textId="77777777" w:rsidR="00774361" w:rsidRPr="00774361" w:rsidRDefault="00774361" w:rsidP="00EA2DE4">
            <w:pPr>
              <w:rPr>
                <w:rFonts w:ascii="Calibri" w:eastAsia="Calibri" w:hAnsi="Calibri" w:cs="Calibri"/>
              </w:rPr>
            </w:pPr>
            <w:r w:rsidRPr="00774361">
              <w:rPr>
                <w:rFonts w:ascii="Calibri" w:eastAsia="Calibri" w:hAnsi="Calibri" w:cs="Calibri"/>
              </w:rPr>
              <w:t>Practical lab sessions</w:t>
            </w:r>
          </w:p>
        </w:tc>
        <w:tc>
          <w:tcPr>
            <w:tcW w:w="3969" w:type="dxa"/>
            <w:tcBorders>
              <w:top w:val="single" w:sz="4" w:space="0" w:color="000000"/>
              <w:left w:val="single" w:sz="4" w:space="0" w:color="000000"/>
              <w:bottom w:val="single" w:sz="4" w:space="0" w:color="000000"/>
              <w:right w:val="single" w:sz="4" w:space="0" w:color="000000"/>
            </w:tcBorders>
          </w:tcPr>
          <w:p w14:paraId="73BA95CA" w14:textId="77777777" w:rsidR="00774361" w:rsidRPr="00774361" w:rsidRDefault="00774361" w:rsidP="00EA2DE4">
            <w:pPr>
              <w:rPr>
                <w:rFonts w:ascii="Calibri" w:eastAsia="Calibri" w:hAnsi="Calibri" w:cs="Calibri"/>
              </w:rPr>
            </w:pPr>
            <w:r w:rsidRPr="00774361">
              <w:rPr>
                <w:rFonts w:ascii="Calibri" w:eastAsia="Calibri" w:hAnsi="Calibri" w:cs="Calibri"/>
              </w:rPr>
              <w:t>Practical on-site lab computer lab sessions</w:t>
            </w:r>
          </w:p>
        </w:tc>
        <w:tc>
          <w:tcPr>
            <w:tcW w:w="1842" w:type="dxa"/>
            <w:tcBorders>
              <w:top w:val="single" w:sz="4" w:space="0" w:color="000000"/>
              <w:left w:val="single" w:sz="4" w:space="0" w:color="000000"/>
              <w:bottom w:val="single" w:sz="4" w:space="0" w:color="000000"/>
              <w:right w:val="single" w:sz="4" w:space="0" w:color="000000"/>
            </w:tcBorders>
          </w:tcPr>
          <w:p w14:paraId="581151FB" w14:textId="77777777" w:rsidR="00774361" w:rsidRPr="00774361" w:rsidRDefault="00774361" w:rsidP="00EA2DE4">
            <w:pPr>
              <w:rPr>
                <w:rFonts w:ascii="Calibri" w:eastAsia="Calibri" w:hAnsi="Calibri" w:cs="Calibri"/>
              </w:rPr>
            </w:pPr>
            <w:r w:rsidRPr="00774361">
              <w:rPr>
                <w:rFonts w:ascii="Calibri" w:eastAsia="Calibri" w:hAnsi="Calibri" w:cs="Calibri"/>
              </w:rPr>
              <w:t>1:35</w:t>
            </w:r>
          </w:p>
        </w:tc>
      </w:tr>
      <w:tr w:rsidR="00774361" w:rsidRPr="00774361" w14:paraId="36E8369A"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8116B7" w14:textId="77777777" w:rsidR="00774361" w:rsidRPr="00774361" w:rsidRDefault="00774361" w:rsidP="00EA2DE4">
            <w:pPr>
              <w:rPr>
                <w:rFonts w:ascii="Calibri" w:eastAsia="Calibri" w:hAnsi="Calibri" w:cs="Calibri"/>
              </w:rPr>
            </w:pPr>
            <w:r w:rsidRPr="00774361">
              <w:rPr>
                <w:rFonts w:ascii="Calibri" w:eastAsia="Calibri" w:hAnsi="Calibri" w:cs="Calibri"/>
              </w:rPr>
              <w:t>Online class (broadcast live)</w:t>
            </w:r>
          </w:p>
        </w:tc>
        <w:tc>
          <w:tcPr>
            <w:tcW w:w="3969" w:type="dxa"/>
            <w:tcBorders>
              <w:top w:val="single" w:sz="4" w:space="0" w:color="000000"/>
              <w:left w:val="single" w:sz="4" w:space="0" w:color="000000"/>
              <w:bottom w:val="single" w:sz="4" w:space="0" w:color="000000"/>
              <w:right w:val="single" w:sz="4" w:space="0" w:color="000000"/>
            </w:tcBorders>
          </w:tcPr>
          <w:p w14:paraId="315144C5" w14:textId="77777777" w:rsidR="00774361" w:rsidRPr="00774361" w:rsidRDefault="00774361" w:rsidP="00EA2DE4">
            <w:pPr>
              <w:rPr>
                <w:rFonts w:ascii="Calibri" w:eastAsia="Calibri" w:hAnsi="Calibri" w:cs="Calibri"/>
              </w:rPr>
            </w:pPr>
            <w:r w:rsidRPr="00774361">
              <w:rPr>
                <w:rFonts w:ascii="Calibri" w:eastAsia="Calibri" w:hAnsi="Calibri" w:cs="Calibri"/>
              </w:rPr>
              <w:t>Online class (broadcast live - non interactive transmission)</w:t>
            </w:r>
          </w:p>
        </w:tc>
        <w:tc>
          <w:tcPr>
            <w:tcW w:w="1842" w:type="dxa"/>
            <w:tcBorders>
              <w:top w:val="single" w:sz="4" w:space="0" w:color="000000"/>
              <w:left w:val="single" w:sz="4" w:space="0" w:color="000000"/>
              <w:bottom w:val="single" w:sz="4" w:space="0" w:color="000000"/>
              <w:right w:val="single" w:sz="4" w:space="0" w:color="000000"/>
            </w:tcBorders>
          </w:tcPr>
          <w:p w14:paraId="15C80EB0" w14:textId="77777777" w:rsidR="00774361" w:rsidRPr="00774361" w:rsidRDefault="00774361" w:rsidP="00EA2DE4">
            <w:pPr>
              <w:rPr>
                <w:rFonts w:ascii="Calibri" w:eastAsia="Calibri" w:hAnsi="Calibri" w:cs="Calibri"/>
              </w:rPr>
            </w:pPr>
            <w:r w:rsidRPr="00774361">
              <w:rPr>
                <w:rFonts w:ascii="Calibri" w:eastAsia="Calibri" w:hAnsi="Calibri" w:cs="Calibri"/>
              </w:rPr>
              <w:t>1:50</w:t>
            </w:r>
          </w:p>
        </w:tc>
      </w:tr>
      <w:tr w:rsidR="00774361" w:rsidRPr="00774361" w14:paraId="3D5BD52E"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583826C" w14:textId="77777777" w:rsidR="00774361" w:rsidRPr="00774361" w:rsidRDefault="00774361" w:rsidP="00EA2DE4">
            <w:pPr>
              <w:rPr>
                <w:rFonts w:ascii="Calibri" w:eastAsia="Calibri" w:hAnsi="Calibri" w:cs="Calibri"/>
              </w:rPr>
            </w:pPr>
            <w:r w:rsidRPr="00774361">
              <w:rPr>
                <w:rFonts w:ascii="Calibri" w:eastAsia="Calibri" w:hAnsi="Calibri" w:cs="Calibri"/>
              </w:rPr>
              <w:t>Online tutorial (interactive)</w:t>
            </w:r>
          </w:p>
        </w:tc>
        <w:tc>
          <w:tcPr>
            <w:tcW w:w="3969" w:type="dxa"/>
            <w:tcBorders>
              <w:top w:val="single" w:sz="4" w:space="0" w:color="000000"/>
              <w:left w:val="single" w:sz="4" w:space="0" w:color="000000"/>
              <w:bottom w:val="single" w:sz="4" w:space="0" w:color="000000"/>
              <w:right w:val="single" w:sz="4" w:space="0" w:color="000000"/>
            </w:tcBorders>
          </w:tcPr>
          <w:p w14:paraId="212F1FDC" w14:textId="77777777" w:rsidR="00774361" w:rsidRPr="00774361" w:rsidRDefault="00774361" w:rsidP="00EA2DE4">
            <w:pPr>
              <w:rPr>
                <w:rFonts w:ascii="Calibri" w:eastAsia="Calibri" w:hAnsi="Calibri" w:cs="Calibri"/>
              </w:rPr>
            </w:pPr>
            <w:r w:rsidRPr="00774361">
              <w:rPr>
                <w:rFonts w:ascii="Calibri" w:eastAsia="Calibri" w:hAnsi="Calibri" w:cs="Calibri"/>
              </w:rPr>
              <w:t>Online class (broadcast live - interactive such as Zoom)</w:t>
            </w:r>
          </w:p>
        </w:tc>
        <w:tc>
          <w:tcPr>
            <w:tcW w:w="1842" w:type="dxa"/>
            <w:tcBorders>
              <w:top w:val="single" w:sz="4" w:space="0" w:color="000000"/>
              <w:left w:val="single" w:sz="4" w:space="0" w:color="000000"/>
              <w:bottom w:val="single" w:sz="4" w:space="0" w:color="000000"/>
              <w:right w:val="single" w:sz="4" w:space="0" w:color="000000"/>
            </w:tcBorders>
          </w:tcPr>
          <w:p w14:paraId="27E5FE5C" w14:textId="77777777" w:rsidR="00774361" w:rsidRPr="00774361" w:rsidRDefault="00774361" w:rsidP="00EA2DE4">
            <w:pPr>
              <w:rPr>
                <w:rFonts w:ascii="Calibri" w:eastAsia="Calibri" w:hAnsi="Calibri" w:cs="Calibri"/>
              </w:rPr>
            </w:pPr>
            <w:r w:rsidRPr="00774361">
              <w:rPr>
                <w:rFonts w:ascii="Calibri" w:eastAsia="Calibri" w:hAnsi="Calibri" w:cs="Calibri"/>
              </w:rPr>
              <w:t>1:25</w:t>
            </w:r>
          </w:p>
        </w:tc>
      </w:tr>
      <w:tr w:rsidR="00774361" w:rsidRPr="00774361" w14:paraId="54B63C81"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70E23AD" w14:textId="77777777" w:rsidR="00774361" w:rsidRPr="00774361" w:rsidRDefault="00774361" w:rsidP="00EA2DE4">
            <w:pPr>
              <w:rPr>
                <w:rFonts w:ascii="Calibri" w:eastAsia="Calibri" w:hAnsi="Calibri" w:cs="Calibri"/>
              </w:rPr>
            </w:pPr>
            <w:r w:rsidRPr="00774361">
              <w:rPr>
                <w:rFonts w:ascii="Calibri" w:eastAsia="Calibri" w:hAnsi="Calibri" w:cs="Calibri"/>
              </w:rPr>
              <w:t>Asynchronous</w:t>
            </w:r>
          </w:p>
        </w:tc>
        <w:tc>
          <w:tcPr>
            <w:tcW w:w="3969" w:type="dxa"/>
            <w:tcBorders>
              <w:top w:val="single" w:sz="4" w:space="0" w:color="000000"/>
              <w:left w:val="single" w:sz="4" w:space="0" w:color="000000"/>
              <w:bottom w:val="single" w:sz="4" w:space="0" w:color="000000"/>
              <w:right w:val="single" w:sz="4" w:space="0" w:color="000000"/>
            </w:tcBorders>
          </w:tcPr>
          <w:p w14:paraId="447B4EC8" w14:textId="77777777" w:rsidR="00774361" w:rsidRPr="00774361" w:rsidRDefault="00774361" w:rsidP="00EA2DE4">
            <w:pPr>
              <w:rPr>
                <w:rFonts w:ascii="Calibri" w:eastAsia="Calibri" w:hAnsi="Calibri" w:cs="Calibri"/>
              </w:rPr>
            </w:pPr>
            <w:r w:rsidRPr="00774361">
              <w:rPr>
                <w:rFonts w:ascii="Calibri" w:eastAsia="Calibri" w:hAnsi="Calibri" w:cs="Calibri"/>
              </w:rPr>
              <w:t>On demand content</w:t>
            </w:r>
          </w:p>
        </w:tc>
        <w:tc>
          <w:tcPr>
            <w:tcW w:w="1842" w:type="dxa"/>
            <w:tcBorders>
              <w:top w:val="single" w:sz="4" w:space="0" w:color="000000"/>
              <w:left w:val="single" w:sz="4" w:space="0" w:color="000000"/>
              <w:bottom w:val="single" w:sz="4" w:space="0" w:color="000000"/>
              <w:right w:val="single" w:sz="4" w:space="0" w:color="000000"/>
            </w:tcBorders>
          </w:tcPr>
          <w:p w14:paraId="498A2B91" w14:textId="77777777" w:rsidR="00774361" w:rsidRPr="00774361" w:rsidRDefault="00774361" w:rsidP="00EA2DE4">
            <w:pPr>
              <w:rPr>
                <w:rFonts w:ascii="Calibri" w:eastAsia="Calibri" w:hAnsi="Calibri" w:cs="Calibri"/>
              </w:rPr>
            </w:pPr>
            <w:r w:rsidRPr="00774361">
              <w:rPr>
                <w:rFonts w:ascii="Calibri" w:eastAsia="Calibri" w:hAnsi="Calibri" w:cs="Calibri"/>
              </w:rPr>
              <w:t>n/a</w:t>
            </w:r>
          </w:p>
        </w:tc>
      </w:tr>
      <w:tr w:rsidR="00774361" w:rsidRPr="00774361" w14:paraId="078CF597" w14:textId="77777777" w:rsidTr="00EA2D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6E3C111A" w14:textId="77777777" w:rsidR="00774361" w:rsidRPr="00774361" w:rsidRDefault="00774361" w:rsidP="00EA2DE4">
            <w:pPr>
              <w:spacing w:after="0"/>
              <w:rPr>
                <w:rFonts w:ascii="Calibri" w:eastAsia="Calibri" w:hAnsi="Calibri" w:cs="Calibri"/>
              </w:rPr>
            </w:pPr>
            <w:r w:rsidRPr="00774361">
              <w:rPr>
                <w:rFonts w:ascii="Calibri" w:eastAsia="Calibri" w:hAnsi="Calibri" w:cs="Calibri"/>
              </w:rPr>
              <w:t xml:space="preserve">Panel Commentary on programme outline and staffing: </w:t>
            </w:r>
          </w:p>
          <w:p w14:paraId="1E1663B4" w14:textId="77777777" w:rsidR="00774361" w:rsidRPr="00774361" w:rsidRDefault="00774361" w:rsidP="00774361">
            <w:pPr>
              <w:spacing w:after="0" w:line="240" w:lineRule="auto"/>
              <w:rPr>
                <w:rFonts w:eastAsia="Times New Roman" w:cstheme="minorHAnsi"/>
              </w:rPr>
            </w:pPr>
            <w:r w:rsidRPr="00774361">
              <w:rPr>
                <w:rFonts w:eastAsia="Times New Roman" w:cstheme="minorHAnsi"/>
              </w:rPr>
              <w:t>See conditions set by the panel under Criterion 6</w:t>
            </w:r>
          </w:p>
          <w:p w14:paraId="11691666" w14:textId="3CFBAC86" w:rsidR="00774361" w:rsidRPr="00774361" w:rsidRDefault="00774361" w:rsidP="00EA2DE4">
            <w:pPr>
              <w:rPr>
                <w:rFonts w:ascii="Calibri" w:eastAsia="Calibri" w:hAnsi="Calibri" w:cs="Calibri"/>
                <w:iCs/>
              </w:rPr>
            </w:pPr>
          </w:p>
        </w:tc>
      </w:tr>
    </w:tbl>
    <w:p w14:paraId="2CC6C826" w14:textId="5CF23A10" w:rsidR="00F060AB" w:rsidRPr="00DD3D40" w:rsidRDefault="00D35F8D" w:rsidP="00F060AB">
      <w:pPr>
        <w:rPr>
          <w:rFonts w:eastAsia="Times New Roman" w:cstheme="minorHAnsi"/>
          <w:sz w:val="20"/>
          <w:szCs w:val="20"/>
        </w:rPr>
      </w:pPr>
    </w:p>
    <w:p w14:paraId="791C9DCD" w14:textId="77777777" w:rsidR="00F060AB" w:rsidRPr="003546AE" w:rsidRDefault="00BC1208" w:rsidP="00F060AB">
      <w:pPr>
        <w:rPr>
          <w:rFonts w:eastAsiaTheme="majorEastAsia" w:cstheme="minorHAnsi"/>
          <w:color w:val="2F5496" w:themeColor="accent1" w:themeShade="BF"/>
        </w:rPr>
      </w:pPr>
      <w:r w:rsidRPr="003546AE">
        <w:rPr>
          <w:rFonts w:cstheme="minorHAnsi"/>
        </w:rPr>
        <w:br w:type="page"/>
      </w:r>
    </w:p>
    <w:p w14:paraId="59DEB037" w14:textId="77777777" w:rsidR="00F060AB" w:rsidRDefault="00BC1208" w:rsidP="00F060AB">
      <w:pPr>
        <w:pStyle w:val="Heading1"/>
      </w:pPr>
      <w:r w:rsidRPr="003546AE">
        <w:t>Evaluation against the validation criteria</w:t>
      </w:r>
    </w:p>
    <w:p w14:paraId="38850084" w14:textId="77777777" w:rsidR="00F060AB" w:rsidRPr="00F11ECA" w:rsidRDefault="00D35F8D" w:rsidP="00F060AB"/>
    <w:p w14:paraId="6171A35D" w14:textId="77777777" w:rsidR="00F060AB" w:rsidRPr="00BF7A5C" w:rsidRDefault="00BC1208"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2393"/>
        <w:gridCol w:w="1293"/>
        <w:gridCol w:w="5335"/>
      </w:tblGrid>
      <w:tr w:rsidR="00F060AB" w:rsidRPr="003546AE" w14:paraId="1843BD41" w14:textId="77777777" w:rsidTr="00302DC7">
        <w:trPr>
          <w:trHeight w:val="1725"/>
        </w:trPr>
        <w:tc>
          <w:tcPr>
            <w:tcW w:w="9021" w:type="dxa"/>
            <w:gridSpan w:val="3"/>
            <w:shd w:val="clear" w:color="auto" w:fill="D9E2F3" w:themeFill="accent1" w:themeFillTint="33"/>
          </w:tcPr>
          <w:p w14:paraId="5F9517B3" w14:textId="77777777" w:rsidR="00F060AB" w:rsidRPr="003546AE" w:rsidRDefault="00BC1208"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F060AB" w:rsidRPr="003546AE" w:rsidRDefault="00BC1208"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77777777" w:rsidR="00F060AB" w:rsidRPr="003546AE" w:rsidRDefault="00BC1208"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The provider has declared that their programme complies with applicable statutory, regulatory and professional body requirements.</w:t>
            </w:r>
            <w:r w:rsidRPr="003546AE">
              <w:rPr>
                <w:rFonts w:eastAsia="Times New Roman" w:cstheme="minorHAnsi"/>
                <w:sz w:val="20"/>
                <w:szCs w:val="20"/>
                <w:vertAlign w:val="superscript"/>
              </w:rPr>
              <w:footnoteReference w:id="3"/>
            </w:r>
          </w:p>
        </w:tc>
      </w:tr>
      <w:tr w:rsidR="00F060AB" w:rsidRPr="003546AE" w14:paraId="71DA5E15" w14:textId="77777777" w:rsidTr="00AC46AA">
        <w:tblPrEx>
          <w:shd w:val="clear" w:color="auto" w:fill="auto"/>
        </w:tblPrEx>
        <w:tc>
          <w:tcPr>
            <w:tcW w:w="2393" w:type="dxa"/>
            <w:shd w:val="clear" w:color="auto" w:fill="D9E2F3" w:themeFill="accent1" w:themeFillTint="33"/>
          </w:tcPr>
          <w:p w14:paraId="79C02ED7" w14:textId="1A23CCEA" w:rsidR="00F060AB" w:rsidRPr="0033092E" w:rsidRDefault="0033092E" w:rsidP="00302DC7">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5CD1F234"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7D4597B8"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AC46AA">
        <w:tblPrEx>
          <w:shd w:val="clear" w:color="auto" w:fill="auto"/>
        </w:tblPrEx>
        <w:tc>
          <w:tcPr>
            <w:tcW w:w="2393" w:type="dxa"/>
            <w:shd w:val="clear" w:color="auto" w:fill="FFFFFF" w:themeFill="background1"/>
          </w:tcPr>
          <w:p w14:paraId="13F77567" w14:textId="6B6FAF1C" w:rsidR="00F060AB" w:rsidRPr="0033092E" w:rsidRDefault="002E16B1"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293" w:type="dxa"/>
            <w:shd w:val="clear" w:color="auto" w:fill="FFFFFF" w:themeFill="background1"/>
          </w:tcPr>
          <w:p w14:paraId="175FBA4D" w14:textId="04422BEF" w:rsidR="00F060AB" w:rsidRPr="003546AE" w:rsidRDefault="002E16B1"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0666633D" w14:textId="77777777" w:rsidR="00F060AB" w:rsidRDefault="00D35F8D" w:rsidP="00302DC7">
            <w:pPr>
              <w:contextualSpacing/>
              <w:rPr>
                <w:rFonts w:eastAsia="Times New Roman" w:cstheme="minorHAnsi"/>
                <w:sz w:val="20"/>
                <w:szCs w:val="20"/>
              </w:rPr>
            </w:pPr>
          </w:p>
          <w:p w14:paraId="2959A1D2" w14:textId="77777777" w:rsidR="00AC46AA" w:rsidRDefault="00D35F8D" w:rsidP="00302DC7">
            <w:pPr>
              <w:contextualSpacing/>
              <w:rPr>
                <w:rFonts w:eastAsia="Times New Roman" w:cstheme="minorHAnsi"/>
                <w:sz w:val="20"/>
                <w:szCs w:val="20"/>
              </w:rPr>
            </w:pPr>
          </w:p>
          <w:p w14:paraId="4F074882" w14:textId="77777777" w:rsidR="00AC46AA" w:rsidRDefault="00D35F8D" w:rsidP="00302DC7">
            <w:pPr>
              <w:contextualSpacing/>
              <w:rPr>
                <w:rFonts w:eastAsia="Times New Roman" w:cstheme="minorHAnsi"/>
                <w:sz w:val="20"/>
                <w:szCs w:val="20"/>
              </w:rPr>
            </w:pPr>
          </w:p>
          <w:p w14:paraId="4E7AD332" w14:textId="6EA1C4C9" w:rsidR="00AC46AA" w:rsidRPr="003546AE" w:rsidRDefault="00D35F8D" w:rsidP="00302DC7">
            <w:pPr>
              <w:contextualSpacing/>
              <w:rPr>
                <w:rFonts w:eastAsia="Times New Roman" w:cstheme="minorHAnsi"/>
                <w:sz w:val="20"/>
                <w:szCs w:val="20"/>
              </w:rPr>
            </w:pPr>
          </w:p>
        </w:tc>
      </w:tr>
      <w:tr w:rsidR="00F060AB" w:rsidRPr="003546AE" w14:paraId="132B4234" w14:textId="77777777" w:rsidTr="00AC46AA">
        <w:tblPrEx>
          <w:shd w:val="clear" w:color="auto" w:fill="auto"/>
        </w:tblPrEx>
        <w:tc>
          <w:tcPr>
            <w:tcW w:w="2393" w:type="dxa"/>
            <w:shd w:val="clear" w:color="auto" w:fill="FFFFFF" w:themeFill="background1"/>
          </w:tcPr>
          <w:p w14:paraId="5555CAFC" w14:textId="4495CE74" w:rsidR="00F060AB" w:rsidRPr="0033092E" w:rsidRDefault="002E16B1"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293" w:type="dxa"/>
            <w:shd w:val="clear" w:color="auto" w:fill="FFFFFF" w:themeFill="background1"/>
          </w:tcPr>
          <w:p w14:paraId="57590109" w14:textId="028C137E" w:rsidR="00F060AB" w:rsidRPr="003546AE" w:rsidRDefault="002E16B1"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6637D343" w14:textId="77777777" w:rsidR="00F060AB" w:rsidRDefault="00D35F8D" w:rsidP="00302DC7">
            <w:pPr>
              <w:contextualSpacing/>
              <w:rPr>
                <w:rFonts w:eastAsia="Times New Roman" w:cstheme="minorHAnsi"/>
                <w:sz w:val="20"/>
                <w:szCs w:val="20"/>
              </w:rPr>
            </w:pPr>
          </w:p>
          <w:p w14:paraId="3F92E178" w14:textId="77777777" w:rsidR="00AC46AA" w:rsidRDefault="00D35F8D" w:rsidP="00302DC7">
            <w:pPr>
              <w:contextualSpacing/>
              <w:rPr>
                <w:rFonts w:eastAsia="Times New Roman" w:cstheme="minorHAnsi"/>
                <w:sz w:val="20"/>
                <w:szCs w:val="20"/>
              </w:rPr>
            </w:pPr>
          </w:p>
          <w:p w14:paraId="3F2E22BA" w14:textId="77777777" w:rsidR="00AC46AA" w:rsidRDefault="00D35F8D" w:rsidP="00302DC7">
            <w:pPr>
              <w:contextualSpacing/>
              <w:rPr>
                <w:rFonts w:eastAsia="Times New Roman" w:cstheme="minorHAnsi"/>
                <w:sz w:val="20"/>
                <w:szCs w:val="20"/>
              </w:rPr>
            </w:pPr>
          </w:p>
          <w:p w14:paraId="0C8987CC" w14:textId="00E07D28" w:rsidR="00AC46AA" w:rsidRPr="003546AE" w:rsidRDefault="00D35F8D" w:rsidP="00302DC7">
            <w:pPr>
              <w:contextualSpacing/>
              <w:rPr>
                <w:rFonts w:eastAsia="Times New Roman" w:cstheme="minorHAnsi"/>
                <w:sz w:val="20"/>
                <w:szCs w:val="20"/>
              </w:rPr>
            </w:pPr>
          </w:p>
        </w:tc>
      </w:tr>
    </w:tbl>
    <w:p w14:paraId="5631F971" w14:textId="52D47E92" w:rsidR="00F060AB" w:rsidRDefault="00D35F8D" w:rsidP="00F060AB">
      <w:pPr>
        <w:rPr>
          <w:rFonts w:cstheme="minorHAnsi"/>
          <w:i/>
          <w:color w:val="FF0000"/>
        </w:rPr>
      </w:pPr>
    </w:p>
    <w:p w14:paraId="4DE52BD3" w14:textId="106964F3" w:rsidR="002E16B1" w:rsidRDefault="002E16B1" w:rsidP="002E16B1">
      <w:pPr>
        <w:rPr>
          <w:rFonts w:cstheme="minorHAnsi"/>
          <w:sz w:val="24"/>
          <w:szCs w:val="24"/>
          <w:lang w:val="en-GB"/>
        </w:rPr>
      </w:pPr>
      <w:r>
        <w:t xml:space="preserve">As an established provider of higher education programmes DBS has met the </w:t>
      </w:r>
      <w:r w:rsidR="003B1AB7">
        <w:t>prerequisites to</w:t>
      </w:r>
      <w:r>
        <w:t xml:space="preserve"> apply for validation of this programme. It was noted that DBS has in </w:t>
      </w:r>
      <w:r>
        <w:rPr>
          <w:rFonts w:cstheme="minorHAnsi"/>
        </w:rPr>
        <w:t>place procedures for access, transfer and progression. DBS has also established arrangements for the Protection of Enrolled Learners (PEL) which have been approved by QQI</w:t>
      </w:r>
      <w:r>
        <w:rPr>
          <w:rFonts w:cstheme="minorHAnsi"/>
          <w:lang w:val="en-GB"/>
        </w:rPr>
        <w:t>.</w:t>
      </w:r>
    </w:p>
    <w:p w14:paraId="6BCF220E" w14:textId="77777777" w:rsidR="002E16B1" w:rsidRDefault="002E16B1" w:rsidP="002E16B1">
      <w:pPr>
        <w:spacing w:after="0" w:line="240" w:lineRule="auto"/>
        <w:rPr>
          <w:rFonts w:cs="Calibri"/>
        </w:rPr>
      </w:pPr>
      <w:r>
        <w:t>DBS provided the panel with a copy of the letter to be submitted to QQI with the application for the revalidation of the programmes. The letter contained the signature and declaration required under sub-criteria 1b) and 1c).</w:t>
      </w:r>
    </w:p>
    <w:p w14:paraId="3D0890EA" w14:textId="77777777" w:rsidR="002E16B1" w:rsidRPr="002E16B1" w:rsidRDefault="002E16B1" w:rsidP="00F060AB">
      <w:pPr>
        <w:rPr>
          <w:rFonts w:cstheme="minorHAnsi"/>
          <w:iCs/>
          <w:color w:val="FF0000"/>
        </w:rPr>
      </w:pPr>
    </w:p>
    <w:p w14:paraId="563B39D8" w14:textId="77777777" w:rsidR="00F060AB" w:rsidRPr="00BF7A5C" w:rsidRDefault="00BC1208" w:rsidP="0048373B">
      <w:pPr>
        <w:pStyle w:val="Criterion"/>
        <w:ind w:left="1134" w:hanging="1134"/>
      </w:pPr>
      <w:r w:rsidRPr="003546AE">
        <w:rPr>
          <w:sz w:val="24"/>
          <w:szCs w:val="24"/>
        </w:rPr>
        <w:br w:type="page"/>
      </w:r>
      <w:r w:rsidRPr="003546AE">
        <w:t>The programme objectives and outcomes are clear and consis</w:t>
      </w:r>
      <w:r>
        <w:t>tent with the QQI awards sought</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2665E099" w14:textId="77777777" w:rsidTr="00302DC7">
        <w:tc>
          <w:tcPr>
            <w:tcW w:w="9021" w:type="dxa"/>
            <w:gridSpan w:val="3"/>
            <w:shd w:val="clear" w:color="auto" w:fill="D9E2F3" w:themeFill="accent1" w:themeFillTint="33"/>
          </w:tcPr>
          <w:p w14:paraId="3926EC7C"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F060AB" w:rsidRPr="003546AE" w:rsidRDefault="00BC1208"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1AF8CB2C"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award title(s) is otherwise legitimate for example it must comply with applicable statutory, regulatory and professional body requirements.</w:t>
            </w:r>
          </w:p>
          <w:p w14:paraId="55972343"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F060AB" w:rsidRPr="003546AE" w:rsidRDefault="00BC1208"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F060AB" w:rsidRPr="003546AE" w:rsidRDefault="00BC1208"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succinct and fit for the purpose of informing prospective learners and other stakeholders. </w:t>
            </w:r>
          </w:p>
          <w:p w14:paraId="6D3A5305"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77777777" w:rsidR="00F060AB" w:rsidRPr="003546AE" w:rsidRDefault="00BC1208"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4"/>
            </w:r>
            <w:r w:rsidRPr="003546AE">
              <w:rPr>
                <w:rFonts w:eastAsia="Times New Roman" w:cstheme="minorHAnsi"/>
                <w:sz w:val="20"/>
                <w:szCs w:val="20"/>
              </w:rPr>
              <w:t xml:space="preserve"> </w:t>
            </w:r>
          </w:p>
          <w:p w14:paraId="344BCE6E" w14:textId="77777777" w:rsidR="00F060AB" w:rsidRPr="003546AE" w:rsidRDefault="00BC1208"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5B3B20B6"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0662BC4A" w14:textId="77777777" w:rsidR="00F060A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4DE1204" w14:textId="77777777" w:rsidR="00F060AB" w:rsidRPr="003546AE" w:rsidRDefault="00BC1208" w:rsidP="00302DC7">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5"/>
            </w:r>
          </w:p>
        </w:tc>
      </w:tr>
      <w:tr w:rsidR="00F060AB" w:rsidRPr="003546AE" w14:paraId="6EBF0F9A" w14:textId="77777777" w:rsidTr="00AC46AA">
        <w:tc>
          <w:tcPr>
            <w:tcW w:w="2528" w:type="dxa"/>
            <w:shd w:val="clear" w:color="auto" w:fill="D9E2F3" w:themeFill="accent1" w:themeFillTint="33"/>
          </w:tcPr>
          <w:p w14:paraId="2D660974" w14:textId="3EB273E5"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E855FA3"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1DB2C868"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AC46AA" w:rsidRPr="003546AE" w14:paraId="673DFBE1" w14:textId="77777777" w:rsidTr="00AC46AA">
        <w:tc>
          <w:tcPr>
            <w:tcW w:w="2528" w:type="dxa"/>
            <w:shd w:val="clear" w:color="auto" w:fill="FFFFFF" w:themeFill="background1"/>
          </w:tcPr>
          <w:p w14:paraId="0181397E" w14:textId="1A81120A" w:rsidR="00AC46AA" w:rsidRPr="0033092E" w:rsidRDefault="00563BFE" w:rsidP="00AC46AA">
            <w:pPr>
              <w:contextualSpacing/>
              <w:rPr>
                <w:rFonts w:eastAsia="Times New Roman" w:cstheme="minorHAnsi"/>
                <w:bCs/>
                <w:sz w:val="20"/>
                <w:szCs w:val="20"/>
              </w:rPr>
            </w:pPr>
            <w:r>
              <w:rPr>
                <w:rFonts w:eastAsia="Times New Roman" w:cstheme="minorHAnsi"/>
                <w:bCs/>
                <w:sz w:val="20"/>
                <w:szCs w:val="20"/>
              </w:rPr>
              <w:t>MSc in Health Psychology</w:t>
            </w:r>
          </w:p>
        </w:tc>
        <w:tc>
          <w:tcPr>
            <w:tcW w:w="1300" w:type="dxa"/>
            <w:shd w:val="clear" w:color="auto" w:fill="FFFFFF" w:themeFill="background1"/>
          </w:tcPr>
          <w:p w14:paraId="558743E1" w14:textId="5161A518" w:rsidR="00AC46AA" w:rsidRPr="003546AE" w:rsidRDefault="00563BFE" w:rsidP="00AC46AA">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09CAE1A6" w14:textId="77777777" w:rsidR="00AC46AA" w:rsidRDefault="00D35F8D" w:rsidP="00AC46AA">
            <w:pPr>
              <w:contextualSpacing/>
              <w:rPr>
                <w:rFonts w:eastAsia="Times New Roman" w:cstheme="minorHAnsi"/>
                <w:sz w:val="20"/>
                <w:szCs w:val="20"/>
              </w:rPr>
            </w:pPr>
          </w:p>
          <w:p w14:paraId="65E2199B" w14:textId="77777777" w:rsidR="00AC46AA" w:rsidRDefault="00D35F8D" w:rsidP="00AC46AA">
            <w:pPr>
              <w:contextualSpacing/>
              <w:rPr>
                <w:rFonts w:eastAsia="Times New Roman" w:cstheme="minorHAnsi"/>
                <w:sz w:val="20"/>
                <w:szCs w:val="20"/>
              </w:rPr>
            </w:pPr>
          </w:p>
          <w:p w14:paraId="68C952CE" w14:textId="77777777" w:rsidR="00AC46AA" w:rsidRDefault="00D35F8D" w:rsidP="00AC46AA">
            <w:pPr>
              <w:contextualSpacing/>
              <w:rPr>
                <w:rFonts w:eastAsia="Times New Roman" w:cstheme="minorHAnsi"/>
                <w:sz w:val="20"/>
                <w:szCs w:val="20"/>
              </w:rPr>
            </w:pPr>
          </w:p>
          <w:p w14:paraId="4143F5EA" w14:textId="2DFD483F" w:rsidR="00AC46AA" w:rsidRPr="003546AE" w:rsidRDefault="00D35F8D" w:rsidP="00AC46AA">
            <w:pPr>
              <w:contextualSpacing/>
              <w:rPr>
                <w:rFonts w:eastAsia="Times New Roman" w:cstheme="minorHAnsi"/>
                <w:sz w:val="20"/>
                <w:szCs w:val="20"/>
              </w:rPr>
            </w:pPr>
          </w:p>
        </w:tc>
      </w:tr>
      <w:tr w:rsidR="00AC46AA" w:rsidRPr="003546AE" w14:paraId="56E2569E" w14:textId="77777777" w:rsidTr="00AC46AA">
        <w:tc>
          <w:tcPr>
            <w:tcW w:w="2528" w:type="dxa"/>
            <w:shd w:val="clear" w:color="auto" w:fill="FFFFFF" w:themeFill="background1"/>
          </w:tcPr>
          <w:p w14:paraId="7F5573DA" w14:textId="6F80A16B" w:rsidR="00AC46AA" w:rsidRPr="0033092E" w:rsidRDefault="00563BFE" w:rsidP="00563BFE">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300" w:type="dxa"/>
            <w:shd w:val="clear" w:color="auto" w:fill="FFFFFF" w:themeFill="background1"/>
          </w:tcPr>
          <w:p w14:paraId="0C4A6A3C" w14:textId="6062D910" w:rsidR="00AC46AA" w:rsidRPr="003546AE" w:rsidRDefault="00563BFE" w:rsidP="00AC46AA">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0F4CBD7E" w14:textId="77777777" w:rsidR="00AC46AA" w:rsidRDefault="00D35F8D" w:rsidP="00AC46AA">
            <w:pPr>
              <w:contextualSpacing/>
              <w:rPr>
                <w:rFonts w:eastAsia="Times New Roman" w:cstheme="minorHAnsi"/>
                <w:sz w:val="20"/>
                <w:szCs w:val="20"/>
              </w:rPr>
            </w:pPr>
          </w:p>
          <w:p w14:paraId="568D6B5B" w14:textId="77777777" w:rsidR="00AC46AA" w:rsidRDefault="00D35F8D" w:rsidP="00AC46AA">
            <w:pPr>
              <w:contextualSpacing/>
              <w:rPr>
                <w:rFonts w:eastAsia="Times New Roman" w:cstheme="minorHAnsi"/>
                <w:sz w:val="20"/>
                <w:szCs w:val="20"/>
              </w:rPr>
            </w:pPr>
          </w:p>
          <w:p w14:paraId="16D09A9D" w14:textId="77777777" w:rsidR="00AC46AA" w:rsidRDefault="00D35F8D" w:rsidP="00AC46AA">
            <w:pPr>
              <w:contextualSpacing/>
              <w:rPr>
                <w:rFonts w:eastAsia="Times New Roman" w:cstheme="minorHAnsi"/>
                <w:sz w:val="20"/>
                <w:szCs w:val="20"/>
              </w:rPr>
            </w:pPr>
          </w:p>
          <w:p w14:paraId="1DDA32FA" w14:textId="0A5C6D0F" w:rsidR="00AC46AA" w:rsidRPr="003546AE" w:rsidRDefault="00D35F8D" w:rsidP="00AC46AA">
            <w:pPr>
              <w:contextualSpacing/>
              <w:rPr>
                <w:rFonts w:eastAsia="Times New Roman" w:cstheme="minorHAnsi"/>
                <w:sz w:val="20"/>
                <w:szCs w:val="20"/>
              </w:rPr>
            </w:pPr>
          </w:p>
        </w:tc>
      </w:tr>
    </w:tbl>
    <w:p w14:paraId="4F6A4874" w14:textId="77777777" w:rsidR="00F060AB" w:rsidRPr="003546AE" w:rsidRDefault="00D35F8D" w:rsidP="00F060AB">
      <w:pPr>
        <w:rPr>
          <w:rFonts w:cstheme="minorHAnsi"/>
          <w:lang w:eastAsia="en-IE"/>
        </w:rPr>
      </w:pPr>
    </w:p>
    <w:p w14:paraId="2CA7C5A7" w14:textId="33B861A3" w:rsidR="00563BFE" w:rsidRDefault="00563BFE" w:rsidP="00563BFE">
      <w:r>
        <w:t>The panel found that the aims, objectives and rationale for the programme were clearly expressed. It was noted that the Postgraduate Diploma in Science in Health</w:t>
      </w:r>
      <w:r w:rsidR="00BA437C">
        <w:t xml:space="preserve"> Psychology</w:t>
      </w:r>
      <w:r w:rsidRPr="00563BFE">
        <w:rPr>
          <w:rFonts w:eastAsia="Times New Roman" w:cstheme="minorHAnsi"/>
          <w:bCs/>
          <w:sz w:val="20"/>
          <w:szCs w:val="20"/>
        </w:rPr>
        <w:t xml:space="preserve"> </w:t>
      </w:r>
      <w:r>
        <w:t>will be available to learners who have successfully completed the taught modules of the MSc in Health Psychology but are not progressing to do the Capstone Project necessary to be awarded the MSc.</w:t>
      </w:r>
    </w:p>
    <w:p w14:paraId="3B5673E8" w14:textId="2F25ACD7" w:rsidR="00563BFE" w:rsidRDefault="00563BFE" w:rsidP="00563BFE">
      <w:pPr>
        <w:spacing w:line="240" w:lineRule="auto"/>
      </w:pPr>
      <w:r>
        <w:t>It was concluded that the programme and module learning outcomes have been clearly outlined and were appropriate to the level of the awards. The title of the programme w</w:t>
      </w:r>
      <w:r w:rsidR="009B1C29">
        <w:t>as</w:t>
      </w:r>
      <w:r>
        <w:t xml:space="preserve"> deemed to be appropriate and in line with the QQI standard for the Major Award Type on the NFQ.</w:t>
      </w:r>
    </w:p>
    <w:p w14:paraId="21B8B7C2" w14:textId="678F19BA" w:rsidR="0050473D" w:rsidRDefault="0050473D" w:rsidP="0050473D">
      <w:pPr>
        <w:spacing w:line="240" w:lineRule="auto"/>
      </w:pPr>
      <w:r>
        <w:t xml:space="preserve"> The panel noted that in the module on Global Health, MIMLO 5.5 states that the objective is to ‘Critically evaluate key factors that may affect the organisation and implementation of effective health inequality protests.’ The panel considered that this was not sufficiently clear and made the following recommendation in relation to the wording as set out below.</w:t>
      </w:r>
    </w:p>
    <w:p w14:paraId="734F6C50" w14:textId="6B27E441" w:rsidR="003D02FE" w:rsidRPr="003D02FE" w:rsidRDefault="003D02FE" w:rsidP="00563BFE">
      <w:pPr>
        <w:spacing w:line="240" w:lineRule="auto"/>
        <w:rPr>
          <w:b/>
          <w:bCs/>
        </w:rPr>
      </w:pPr>
      <w:bookmarkStart w:id="1" w:name="_Hlk102498908"/>
      <w:r w:rsidRPr="003D02FE">
        <w:rPr>
          <w:b/>
          <w:bCs/>
        </w:rPr>
        <w:t>Recommendation</w:t>
      </w:r>
    </w:p>
    <w:p w14:paraId="3B6A7C42" w14:textId="310AFA74" w:rsidR="00F060AB" w:rsidRPr="00C21CF6" w:rsidRDefault="003D02FE" w:rsidP="00F060AB">
      <w:pPr>
        <w:rPr>
          <w:b/>
          <w:bCs/>
          <w:lang w:val="en-GB"/>
        </w:rPr>
      </w:pPr>
      <w:r w:rsidRPr="003D02FE">
        <w:rPr>
          <w:b/>
          <w:bCs/>
          <w:lang w:val="en-GB"/>
        </w:rPr>
        <w:t>It is recommended that DBS consider changing or removing the word ‘protests’ in MIMLO 5.5</w:t>
      </w:r>
      <w:r w:rsidR="005F7FCB">
        <w:rPr>
          <w:b/>
          <w:bCs/>
          <w:lang w:val="en-GB"/>
        </w:rPr>
        <w:t>.</w:t>
      </w:r>
      <w:r w:rsidR="00BC1208">
        <w:rPr>
          <w:rFonts w:eastAsia="Times New Roman" w:cstheme="minorHAnsi"/>
          <w:b/>
          <w:bCs/>
        </w:rPr>
        <w:br w:type="page"/>
      </w:r>
    </w:p>
    <w:bookmarkEnd w:id="1"/>
    <w:p w14:paraId="7F2DBBF3" w14:textId="77777777" w:rsidR="00F060AB" w:rsidRPr="003546AE" w:rsidRDefault="00BC1208" w:rsidP="0048373B">
      <w:pPr>
        <w:pStyle w:val="Criterion"/>
        <w:ind w:left="1134" w:hanging="1134"/>
      </w:pPr>
      <w:r w:rsidRPr="003546AE">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2528"/>
        <w:gridCol w:w="1300"/>
        <w:gridCol w:w="5193"/>
        <w:gridCol w:w="51"/>
      </w:tblGrid>
      <w:tr w:rsidR="00F060AB" w:rsidRPr="003546AE" w14:paraId="34677F5E" w14:textId="77777777" w:rsidTr="00302DC7">
        <w:tc>
          <w:tcPr>
            <w:tcW w:w="9072" w:type="dxa"/>
            <w:gridSpan w:val="4"/>
            <w:shd w:val="clear" w:color="auto" w:fill="D9E2F3" w:themeFill="accent1" w:themeFillTint="33"/>
          </w:tcPr>
          <w:p w14:paraId="18906087" w14:textId="77777777" w:rsidR="00F060A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6"/>
            </w:r>
          </w:p>
          <w:p w14:paraId="75D3C945" w14:textId="17B41704" w:rsidR="00F060A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w:t>
            </w:r>
            <w:r w:rsidR="001F4D33" w:rsidRPr="003546AE">
              <w:rPr>
                <w:rFonts w:eastAsia="Times New Roman" w:cstheme="minorHAnsi"/>
                <w:sz w:val="20"/>
                <w:szCs w:val="20"/>
              </w:rPr>
              <w:t>researched; considering</w:t>
            </w:r>
            <w:r w:rsidRPr="003546AE">
              <w:rPr>
                <w:rFonts w:eastAsia="Times New Roman" w:cstheme="minorHAnsi"/>
                <w:sz w:val="20"/>
                <w:szCs w:val="20"/>
              </w:rPr>
              <w:t xml:space="preserve"> the programme aims and objectives and minimum intended programme (and, where applicable, modular) learning outcomes. </w:t>
            </w:r>
          </w:p>
          <w:p w14:paraId="58DD5F0A" w14:textId="77777777" w:rsidR="00F060A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F060AB" w:rsidRPr="003546AE" w:rsidRDefault="00BC1208"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F060A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support for the introduction of the programme (such as from employers, or professional, regulatory or statutory bodies).</w:t>
            </w:r>
          </w:p>
          <w:p w14:paraId="457C8873" w14:textId="77777777" w:rsidR="00F060A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7"/>
            </w:r>
            <w:r w:rsidRPr="003546AE">
              <w:rPr>
                <w:rFonts w:eastAsia="Times New Roman" w:cstheme="minorHAnsi"/>
                <w:sz w:val="20"/>
                <w:szCs w:val="20"/>
              </w:rPr>
              <w:t xml:space="preserve"> of learner demand for the programme.</w:t>
            </w:r>
          </w:p>
          <w:p w14:paraId="558B86AF" w14:textId="77777777" w:rsidR="00F060A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8"/>
            </w:r>
            <w:r w:rsidRPr="003546AE">
              <w:rPr>
                <w:rFonts w:eastAsia="Times New Roman" w:cstheme="minorHAnsi"/>
                <w:sz w:val="20"/>
                <w:szCs w:val="20"/>
              </w:rPr>
              <w:t>.</w:t>
            </w:r>
          </w:p>
          <w:p w14:paraId="64BAB86C" w14:textId="77777777" w:rsidR="00F060AB" w:rsidRPr="003546AE" w:rsidRDefault="00BC1208"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9"/>
            </w:r>
            <w:r w:rsidRPr="003546AE">
              <w:rPr>
                <w:rFonts w:eastAsia="Times New Roman" w:cstheme="minorHAnsi"/>
                <w:color w:val="000000"/>
                <w:sz w:val="20"/>
                <w:szCs w:val="20"/>
              </w:rPr>
              <w:t xml:space="preserve"> </w:t>
            </w:r>
          </w:p>
          <w:p w14:paraId="6A41E0B2" w14:textId="77777777" w:rsidR="00F060A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F060A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F060A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F060AB" w:rsidRPr="003546AE" w:rsidRDefault="00D35F8D" w:rsidP="00302DC7">
            <w:pPr>
              <w:ind w:left="720"/>
              <w:contextualSpacing/>
              <w:rPr>
                <w:rFonts w:eastAsia="Times New Roman" w:cstheme="minorHAnsi"/>
              </w:rPr>
            </w:pPr>
          </w:p>
        </w:tc>
      </w:tr>
      <w:tr w:rsidR="00F060AB" w:rsidRPr="003546AE" w14:paraId="6A2BE7D9" w14:textId="77777777" w:rsidTr="00AC46AA">
        <w:trPr>
          <w:gridAfter w:val="1"/>
          <w:wAfter w:w="51" w:type="dxa"/>
        </w:trPr>
        <w:tc>
          <w:tcPr>
            <w:tcW w:w="2528" w:type="dxa"/>
            <w:shd w:val="clear" w:color="auto" w:fill="D9E2F3" w:themeFill="accent1" w:themeFillTint="33"/>
          </w:tcPr>
          <w:p w14:paraId="018DF911" w14:textId="5F14E943"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E98B254"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02FE205B"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172C26C" w14:textId="77777777" w:rsidTr="00AC46AA">
        <w:trPr>
          <w:gridAfter w:val="1"/>
          <w:wAfter w:w="51" w:type="dxa"/>
        </w:trPr>
        <w:tc>
          <w:tcPr>
            <w:tcW w:w="2528" w:type="dxa"/>
            <w:shd w:val="clear" w:color="auto" w:fill="FFFFFF" w:themeFill="background1"/>
          </w:tcPr>
          <w:p w14:paraId="56AA47DF" w14:textId="0DCFE008"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300" w:type="dxa"/>
            <w:shd w:val="clear" w:color="auto" w:fill="FFFFFF" w:themeFill="background1"/>
          </w:tcPr>
          <w:p w14:paraId="5D9424D4" w14:textId="1F7D5044"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2B9C7587" w14:textId="77777777" w:rsidR="00F060AB" w:rsidRDefault="00D35F8D" w:rsidP="00302DC7">
            <w:pPr>
              <w:contextualSpacing/>
              <w:rPr>
                <w:rFonts w:eastAsia="Times New Roman" w:cstheme="minorHAnsi"/>
                <w:sz w:val="20"/>
                <w:szCs w:val="20"/>
              </w:rPr>
            </w:pPr>
          </w:p>
          <w:p w14:paraId="6827CA82" w14:textId="77777777" w:rsidR="00AC46AA" w:rsidRDefault="00D35F8D" w:rsidP="00302DC7">
            <w:pPr>
              <w:contextualSpacing/>
              <w:rPr>
                <w:rFonts w:eastAsia="Times New Roman" w:cstheme="minorHAnsi"/>
                <w:sz w:val="20"/>
                <w:szCs w:val="20"/>
              </w:rPr>
            </w:pPr>
          </w:p>
          <w:p w14:paraId="21E560AA" w14:textId="77777777" w:rsidR="00AC46AA" w:rsidRDefault="00D35F8D" w:rsidP="00302DC7">
            <w:pPr>
              <w:contextualSpacing/>
              <w:rPr>
                <w:rFonts w:eastAsia="Times New Roman" w:cstheme="minorHAnsi"/>
                <w:sz w:val="20"/>
                <w:szCs w:val="20"/>
              </w:rPr>
            </w:pPr>
          </w:p>
          <w:p w14:paraId="1755CBA9" w14:textId="5990C513" w:rsidR="00AC46AA" w:rsidRPr="003546AE" w:rsidRDefault="00D35F8D" w:rsidP="00302DC7">
            <w:pPr>
              <w:contextualSpacing/>
              <w:rPr>
                <w:rFonts w:eastAsia="Times New Roman" w:cstheme="minorHAnsi"/>
                <w:sz w:val="20"/>
                <w:szCs w:val="20"/>
              </w:rPr>
            </w:pPr>
          </w:p>
        </w:tc>
      </w:tr>
      <w:tr w:rsidR="00F060AB" w:rsidRPr="003546AE" w14:paraId="281EE2C2" w14:textId="77777777" w:rsidTr="00AC46AA">
        <w:trPr>
          <w:gridAfter w:val="1"/>
          <w:wAfter w:w="51" w:type="dxa"/>
        </w:trPr>
        <w:tc>
          <w:tcPr>
            <w:tcW w:w="2528" w:type="dxa"/>
            <w:shd w:val="clear" w:color="auto" w:fill="FFFFFF" w:themeFill="background1"/>
          </w:tcPr>
          <w:p w14:paraId="30C184FF" w14:textId="6222A36D"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300" w:type="dxa"/>
            <w:shd w:val="clear" w:color="auto" w:fill="FFFFFF" w:themeFill="background1"/>
          </w:tcPr>
          <w:p w14:paraId="0B17E7A2" w14:textId="68485DE5"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3CC7ACDA" w14:textId="77777777" w:rsidR="00F060AB" w:rsidRDefault="00D35F8D" w:rsidP="00302DC7">
            <w:pPr>
              <w:contextualSpacing/>
              <w:rPr>
                <w:rFonts w:eastAsia="Times New Roman" w:cstheme="minorHAnsi"/>
                <w:sz w:val="20"/>
                <w:szCs w:val="20"/>
              </w:rPr>
            </w:pPr>
          </w:p>
          <w:p w14:paraId="3009AB1F" w14:textId="77777777" w:rsidR="00AC46AA" w:rsidRDefault="00D35F8D" w:rsidP="00302DC7">
            <w:pPr>
              <w:contextualSpacing/>
              <w:rPr>
                <w:rFonts w:eastAsia="Times New Roman" w:cstheme="minorHAnsi"/>
                <w:sz w:val="20"/>
                <w:szCs w:val="20"/>
              </w:rPr>
            </w:pPr>
          </w:p>
          <w:p w14:paraId="748D119F" w14:textId="77777777" w:rsidR="00AC46AA" w:rsidRDefault="00D35F8D" w:rsidP="00302DC7">
            <w:pPr>
              <w:contextualSpacing/>
              <w:rPr>
                <w:rFonts w:eastAsia="Times New Roman" w:cstheme="minorHAnsi"/>
                <w:sz w:val="20"/>
                <w:szCs w:val="20"/>
              </w:rPr>
            </w:pPr>
          </w:p>
          <w:p w14:paraId="2F1DDFC9" w14:textId="7DF67FAD" w:rsidR="00AC46AA" w:rsidRPr="003546AE" w:rsidRDefault="00D35F8D" w:rsidP="00302DC7">
            <w:pPr>
              <w:contextualSpacing/>
              <w:rPr>
                <w:rFonts w:eastAsia="Times New Roman" w:cstheme="minorHAnsi"/>
                <w:sz w:val="20"/>
                <w:szCs w:val="20"/>
              </w:rPr>
            </w:pPr>
          </w:p>
        </w:tc>
      </w:tr>
    </w:tbl>
    <w:p w14:paraId="0CE4F3CE" w14:textId="77777777" w:rsidR="002708CB" w:rsidRDefault="002708CB" w:rsidP="004905F3">
      <w:pPr>
        <w:rPr>
          <w:lang w:val="en-GB"/>
        </w:rPr>
      </w:pPr>
    </w:p>
    <w:p w14:paraId="00503F54" w14:textId="0CB22BA3" w:rsidR="002708CB" w:rsidRDefault="002708CB" w:rsidP="004905F3">
      <w:pPr>
        <w:rPr>
          <w:lang w:val="en-GB"/>
        </w:rPr>
      </w:pPr>
      <w:r>
        <w:rPr>
          <w:lang w:val="en-GB"/>
        </w:rPr>
        <w:t>The panel is satisfied that the programme concept and implementation strategy, together with its interpretation of the QQI award are well informed and soundly based.</w:t>
      </w:r>
    </w:p>
    <w:p w14:paraId="50335F68" w14:textId="3ED15901" w:rsidR="005211C1" w:rsidRDefault="005211C1" w:rsidP="004905F3">
      <w:pPr>
        <w:rPr>
          <w:lang w:val="en-GB"/>
        </w:rPr>
      </w:pPr>
      <w:r>
        <w:rPr>
          <w:lang w:val="en-GB"/>
        </w:rPr>
        <w:t xml:space="preserve">The panel was advised that DBS has undertaken extensive consultation with a range of external and internal stakeholders in relation to the development of the proposed programme. </w:t>
      </w:r>
    </w:p>
    <w:p w14:paraId="34DD521C" w14:textId="03D1694B" w:rsidR="005211C1" w:rsidRDefault="002757DA" w:rsidP="004905F3">
      <w:pPr>
        <w:rPr>
          <w:lang w:val="en-GB"/>
        </w:rPr>
      </w:pPr>
      <w:r>
        <w:rPr>
          <w:lang w:val="en-GB"/>
        </w:rPr>
        <w:t>The programme team indicated that there was a long-term plan</w:t>
      </w:r>
      <w:r w:rsidR="00513AF7">
        <w:rPr>
          <w:lang w:val="en-GB"/>
        </w:rPr>
        <w:t xml:space="preserve"> within DBS</w:t>
      </w:r>
      <w:r>
        <w:rPr>
          <w:lang w:val="en-GB"/>
        </w:rPr>
        <w:t xml:space="preserve"> to have a stand-alone MSc in Health Psychology, building on DBS’s existing MSc in Applied Psychology</w:t>
      </w:r>
      <w:r w:rsidR="00495516">
        <w:rPr>
          <w:lang w:val="en-GB"/>
        </w:rPr>
        <w:t>. The latter programme has</w:t>
      </w:r>
      <w:r>
        <w:rPr>
          <w:lang w:val="en-GB"/>
        </w:rPr>
        <w:t xml:space="preserve"> two main strands</w:t>
      </w:r>
      <w:r w:rsidR="00495516">
        <w:rPr>
          <w:lang w:val="en-GB"/>
        </w:rPr>
        <w:t xml:space="preserve"> in </w:t>
      </w:r>
      <w:r>
        <w:rPr>
          <w:lang w:val="en-GB"/>
        </w:rPr>
        <w:t xml:space="preserve">Health Psychology and Organisational Psychology. It was stated that, in focus groups with learners and graduates of its undergraduate psychology programmes, the option of having a programme dealing specifically with Health Psychology was </w:t>
      </w:r>
      <w:r w:rsidR="009B711B">
        <w:rPr>
          <w:lang w:val="en-GB"/>
        </w:rPr>
        <w:t>strongly favoured. The proposed multi-modal structure</w:t>
      </w:r>
      <w:r w:rsidR="00495516">
        <w:rPr>
          <w:lang w:val="en-GB"/>
        </w:rPr>
        <w:t xml:space="preserve"> of the proposed programme,</w:t>
      </w:r>
      <w:r w:rsidR="009B711B">
        <w:rPr>
          <w:lang w:val="en-GB"/>
        </w:rPr>
        <w:t xml:space="preserve"> with the option</w:t>
      </w:r>
      <w:r w:rsidR="00513AF7">
        <w:rPr>
          <w:lang w:val="en-GB"/>
        </w:rPr>
        <w:t xml:space="preserve"> of</w:t>
      </w:r>
      <w:r w:rsidR="009B711B">
        <w:rPr>
          <w:lang w:val="en-GB"/>
        </w:rPr>
        <w:t xml:space="preserve"> undertaking study part-time was also welcomed by those consulted.</w:t>
      </w:r>
    </w:p>
    <w:p w14:paraId="7179155B" w14:textId="5776CD49" w:rsidR="009B711B" w:rsidRDefault="009B711B" w:rsidP="004905F3">
      <w:pPr>
        <w:rPr>
          <w:lang w:val="en-GB"/>
        </w:rPr>
      </w:pPr>
      <w:r>
        <w:rPr>
          <w:lang w:val="en-GB"/>
        </w:rPr>
        <w:t>Further research with comparative programmes pointed to the potential to offer a distinctive programme with the addition of specific modules such as Survivorship, a</w:t>
      </w:r>
      <w:r w:rsidR="00A60770">
        <w:rPr>
          <w:lang w:val="en-GB"/>
        </w:rPr>
        <w:t>n area</w:t>
      </w:r>
      <w:r>
        <w:rPr>
          <w:lang w:val="en-GB"/>
        </w:rPr>
        <w:t xml:space="preserve"> in which DBS </w:t>
      </w:r>
      <w:r w:rsidR="00A60770">
        <w:rPr>
          <w:lang w:val="en-GB"/>
        </w:rPr>
        <w:t xml:space="preserve">has </w:t>
      </w:r>
      <w:r>
        <w:rPr>
          <w:lang w:val="en-GB"/>
        </w:rPr>
        <w:t>specific expertise</w:t>
      </w:r>
      <w:r w:rsidR="00A60770">
        <w:rPr>
          <w:lang w:val="en-GB"/>
        </w:rPr>
        <w:t xml:space="preserve"> among faculty staff</w:t>
      </w:r>
      <w:r w:rsidR="00513AF7">
        <w:rPr>
          <w:lang w:val="en-GB"/>
        </w:rPr>
        <w:t>, and a research placement option for the Capstone project as well as a dissertation option.</w:t>
      </w:r>
    </w:p>
    <w:p w14:paraId="7A4843E2" w14:textId="6B762A03" w:rsidR="00A60770" w:rsidRDefault="00A60770" w:rsidP="004905F3">
      <w:pPr>
        <w:rPr>
          <w:lang w:val="en-GB"/>
        </w:rPr>
      </w:pPr>
      <w:r>
        <w:rPr>
          <w:lang w:val="en-GB"/>
        </w:rPr>
        <w:t>Consultation ha</w:t>
      </w:r>
      <w:r w:rsidR="00495516">
        <w:rPr>
          <w:lang w:val="en-GB"/>
        </w:rPr>
        <w:t>s</w:t>
      </w:r>
      <w:r>
        <w:rPr>
          <w:lang w:val="en-GB"/>
        </w:rPr>
        <w:t xml:space="preserve"> taken place with a range of potential employers, including </w:t>
      </w:r>
      <w:r w:rsidR="00CF3F44">
        <w:rPr>
          <w:lang w:val="en-GB"/>
        </w:rPr>
        <w:t>the HSE, Acquired Brain Injury Ireland, Amazon, the Irish Prison Service as well as community drug rehabilitation and prevention organisations. Feedback from</w:t>
      </w:r>
      <w:r w:rsidR="00495516">
        <w:rPr>
          <w:lang w:val="en-GB"/>
        </w:rPr>
        <w:t xml:space="preserve"> the health sector</w:t>
      </w:r>
      <w:r w:rsidR="00CF3F44">
        <w:rPr>
          <w:lang w:val="en-GB"/>
        </w:rPr>
        <w:t>, backed up by ongoing government policy in the health area, suggests that</w:t>
      </w:r>
      <w:r w:rsidR="006E6B55">
        <w:rPr>
          <w:lang w:val="en-GB"/>
        </w:rPr>
        <w:t xml:space="preserve"> the </w:t>
      </w:r>
      <w:r w:rsidR="00CF3F44">
        <w:rPr>
          <w:lang w:val="en-GB"/>
        </w:rPr>
        <w:t>need for practitioners in Health Psychology will grow in the coming years</w:t>
      </w:r>
      <w:r w:rsidR="00495516">
        <w:rPr>
          <w:lang w:val="en-GB"/>
        </w:rPr>
        <w:t xml:space="preserve">. It was stated that, within the health sector, there is an increasing </w:t>
      </w:r>
      <w:r w:rsidR="00CF3F44">
        <w:rPr>
          <w:lang w:val="en-GB"/>
        </w:rPr>
        <w:t>emphasis on behaviour change through prevention, health promotion as well as treatment</w:t>
      </w:r>
      <w:r w:rsidR="006E6B55">
        <w:rPr>
          <w:lang w:val="en-GB"/>
        </w:rPr>
        <w:t xml:space="preserve"> </w:t>
      </w:r>
      <w:r w:rsidR="009A7FD6">
        <w:rPr>
          <w:lang w:val="en-GB"/>
        </w:rPr>
        <w:t>interventions</w:t>
      </w:r>
      <w:r w:rsidR="006E6B55">
        <w:rPr>
          <w:lang w:val="en-GB"/>
        </w:rPr>
        <w:t>.</w:t>
      </w:r>
      <w:r w:rsidR="00F90B10">
        <w:rPr>
          <w:lang w:val="en-GB"/>
        </w:rPr>
        <w:t xml:space="preserve"> </w:t>
      </w:r>
    </w:p>
    <w:p w14:paraId="0B7DBA26" w14:textId="0DCF6076" w:rsidR="008A375F" w:rsidRDefault="001820FB" w:rsidP="004905F3">
      <w:pPr>
        <w:rPr>
          <w:lang w:val="en-GB"/>
        </w:rPr>
      </w:pPr>
      <w:r>
        <w:rPr>
          <w:lang w:val="en-GB"/>
        </w:rPr>
        <w:t>At the review session,</w:t>
      </w:r>
      <w:r w:rsidR="008A375F">
        <w:rPr>
          <w:lang w:val="en-GB"/>
        </w:rPr>
        <w:t xml:space="preserve"> the programme team outlined the potential employment opportunities for graduates in both the health care sector itself as well as</w:t>
      </w:r>
      <w:r>
        <w:rPr>
          <w:lang w:val="en-GB"/>
        </w:rPr>
        <w:t xml:space="preserve"> </w:t>
      </w:r>
      <w:r w:rsidR="00513AF7">
        <w:rPr>
          <w:lang w:val="en-GB"/>
        </w:rPr>
        <w:t xml:space="preserve">in </w:t>
      </w:r>
      <w:r>
        <w:rPr>
          <w:lang w:val="en-GB"/>
        </w:rPr>
        <w:t>private industry</w:t>
      </w:r>
      <w:r w:rsidR="00AB0E24">
        <w:rPr>
          <w:lang w:val="en-GB"/>
        </w:rPr>
        <w:t>. The</w:t>
      </w:r>
      <w:r>
        <w:rPr>
          <w:lang w:val="en-GB"/>
        </w:rPr>
        <w:t xml:space="preserve"> panel noted that this was less clearly stated in the programme document</w:t>
      </w:r>
      <w:r w:rsidR="00AB0E24">
        <w:rPr>
          <w:lang w:val="en-GB"/>
        </w:rPr>
        <w:t xml:space="preserve"> reviewed</w:t>
      </w:r>
      <w:r>
        <w:rPr>
          <w:lang w:val="en-GB"/>
        </w:rPr>
        <w:t xml:space="preserve">. The panel is not </w:t>
      </w:r>
      <w:r w:rsidR="009A7FD6">
        <w:rPr>
          <w:lang w:val="en-GB"/>
        </w:rPr>
        <w:t xml:space="preserve">fully confident </w:t>
      </w:r>
      <w:r>
        <w:rPr>
          <w:lang w:val="en-GB"/>
        </w:rPr>
        <w:t xml:space="preserve">that </w:t>
      </w:r>
      <w:r w:rsidR="00AB0E24">
        <w:rPr>
          <w:lang w:val="en-GB"/>
        </w:rPr>
        <w:t xml:space="preserve">potential </w:t>
      </w:r>
      <w:r>
        <w:rPr>
          <w:lang w:val="en-GB"/>
        </w:rPr>
        <w:t xml:space="preserve">applicants </w:t>
      </w:r>
      <w:r w:rsidR="009A7FD6">
        <w:rPr>
          <w:lang w:val="en-GB"/>
        </w:rPr>
        <w:t xml:space="preserve">may </w:t>
      </w:r>
      <w:r w:rsidR="00AB0E24">
        <w:rPr>
          <w:lang w:val="en-GB"/>
        </w:rPr>
        <w:t>be</w:t>
      </w:r>
      <w:r w:rsidR="00513AF7">
        <w:rPr>
          <w:lang w:val="en-GB"/>
        </w:rPr>
        <w:t xml:space="preserve"> sufficiently </w:t>
      </w:r>
      <w:r>
        <w:rPr>
          <w:lang w:val="en-GB"/>
        </w:rPr>
        <w:t>aware of the diversity of</w:t>
      </w:r>
      <w:r w:rsidR="00513AF7">
        <w:rPr>
          <w:lang w:val="en-GB"/>
        </w:rPr>
        <w:t xml:space="preserve"> employment</w:t>
      </w:r>
      <w:r>
        <w:rPr>
          <w:lang w:val="en-GB"/>
        </w:rPr>
        <w:t xml:space="preserve"> </w:t>
      </w:r>
      <w:r w:rsidR="00AB0E24">
        <w:rPr>
          <w:lang w:val="en-GB"/>
        </w:rPr>
        <w:t>opportunities</w:t>
      </w:r>
      <w:r>
        <w:rPr>
          <w:lang w:val="en-GB"/>
        </w:rPr>
        <w:t xml:space="preserve"> open to them</w:t>
      </w:r>
      <w:r w:rsidR="00AB0E24">
        <w:rPr>
          <w:lang w:val="en-GB"/>
        </w:rPr>
        <w:t xml:space="preserve"> on </w:t>
      </w:r>
      <w:r w:rsidR="009A7FD6">
        <w:rPr>
          <w:lang w:val="en-GB"/>
        </w:rPr>
        <w:t xml:space="preserve">completion of the programme </w:t>
      </w:r>
      <w:r>
        <w:rPr>
          <w:lang w:val="en-GB"/>
        </w:rPr>
        <w:t>and made the following recommendation:</w:t>
      </w:r>
    </w:p>
    <w:p w14:paraId="67CC38CB" w14:textId="77777777" w:rsidR="001820FB" w:rsidRPr="004905F3" w:rsidRDefault="001820FB" w:rsidP="001820FB">
      <w:pPr>
        <w:rPr>
          <w:b/>
          <w:bCs/>
          <w:lang w:val="en-GB"/>
        </w:rPr>
      </w:pPr>
      <w:r w:rsidRPr="004905F3">
        <w:rPr>
          <w:b/>
          <w:bCs/>
          <w:lang w:val="en-GB"/>
        </w:rPr>
        <w:t>Recommendation</w:t>
      </w:r>
    </w:p>
    <w:p w14:paraId="20ABA395" w14:textId="738FB298" w:rsidR="001820FB" w:rsidRDefault="001820FB" w:rsidP="001820FB">
      <w:pPr>
        <w:rPr>
          <w:b/>
          <w:bCs/>
          <w:lang w:val="en-GB"/>
        </w:rPr>
      </w:pPr>
      <w:r w:rsidRPr="004905F3">
        <w:rPr>
          <w:b/>
          <w:bCs/>
          <w:lang w:val="en-GB"/>
        </w:rPr>
        <w:t>It is recommended that DBS</w:t>
      </w:r>
      <w:r w:rsidR="009A7FD6">
        <w:rPr>
          <w:b/>
          <w:bCs/>
          <w:lang w:val="en-GB"/>
        </w:rPr>
        <w:t xml:space="preserve"> outlines</w:t>
      </w:r>
      <w:r w:rsidRPr="004905F3">
        <w:rPr>
          <w:b/>
          <w:bCs/>
          <w:lang w:val="en-GB"/>
        </w:rPr>
        <w:t xml:space="preserve"> </w:t>
      </w:r>
      <w:r w:rsidR="009A7FD6">
        <w:rPr>
          <w:b/>
          <w:bCs/>
          <w:lang w:val="en-GB"/>
        </w:rPr>
        <w:t>all</w:t>
      </w:r>
      <w:r w:rsidR="009A7FD6" w:rsidRPr="004905F3">
        <w:rPr>
          <w:b/>
          <w:bCs/>
          <w:lang w:val="en-GB"/>
        </w:rPr>
        <w:t xml:space="preserve"> </w:t>
      </w:r>
      <w:r w:rsidRPr="004905F3">
        <w:rPr>
          <w:b/>
          <w:bCs/>
          <w:lang w:val="en-GB"/>
        </w:rPr>
        <w:t xml:space="preserve">potential employment opportunities </w:t>
      </w:r>
      <w:r w:rsidR="009A7FD6">
        <w:rPr>
          <w:b/>
          <w:bCs/>
          <w:lang w:val="en-GB"/>
        </w:rPr>
        <w:t xml:space="preserve">available </w:t>
      </w:r>
      <w:r w:rsidRPr="004905F3">
        <w:rPr>
          <w:b/>
          <w:bCs/>
          <w:lang w:val="en-GB"/>
        </w:rPr>
        <w:t xml:space="preserve">for qualified </w:t>
      </w:r>
      <w:r w:rsidR="00513AF7">
        <w:rPr>
          <w:b/>
          <w:bCs/>
          <w:lang w:val="en-GB"/>
        </w:rPr>
        <w:t>H</w:t>
      </w:r>
      <w:r w:rsidRPr="004905F3">
        <w:rPr>
          <w:b/>
          <w:bCs/>
          <w:lang w:val="en-GB"/>
        </w:rPr>
        <w:t xml:space="preserve">ealth </w:t>
      </w:r>
      <w:r w:rsidR="00513AF7">
        <w:rPr>
          <w:b/>
          <w:bCs/>
          <w:lang w:val="en-GB"/>
        </w:rPr>
        <w:t>P</w:t>
      </w:r>
      <w:r w:rsidRPr="004905F3">
        <w:rPr>
          <w:b/>
          <w:bCs/>
          <w:lang w:val="en-GB"/>
        </w:rPr>
        <w:t>sychologists</w:t>
      </w:r>
      <w:r w:rsidR="009A7FD6">
        <w:rPr>
          <w:b/>
          <w:bCs/>
          <w:lang w:val="en-GB"/>
        </w:rPr>
        <w:t xml:space="preserve"> more explicitly</w:t>
      </w:r>
      <w:r w:rsidRPr="004905F3">
        <w:rPr>
          <w:b/>
          <w:bCs/>
          <w:lang w:val="en-GB"/>
        </w:rPr>
        <w:t xml:space="preserve"> in the programme document.</w:t>
      </w:r>
    </w:p>
    <w:p w14:paraId="030F0EF0" w14:textId="05DDC435" w:rsidR="006E6B55" w:rsidRDefault="006E6B55" w:rsidP="004905F3">
      <w:pPr>
        <w:rPr>
          <w:lang w:val="en-GB"/>
        </w:rPr>
      </w:pPr>
      <w:r>
        <w:rPr>
          <w:lang w:val="en-GB"/>
        </w:rPr>
        <w:t>The panel was informed that DBS has a specific Industry Advisory Board for Human and Social Sciences, drawn from a broad range of organisations, including the health sector</w:t>
      </w:r>
      <w:r w:rsidR="00AB0E24">
        <w:rPr>
          <w:lang w:val="en-GB"/>
        </w:rPr>
        <w:t xml:space="preserve"> itself,</w:t>
      </w:r>
      <w:r>
        <w:rPr>
          <w:lang w:val="en-GB"/>
        </w:rPr>
        <w:t xml:space="preserve"> as well as private companies</w:t>
      </w:r>
      <w:r w:rsidR="009A7FD6">
        <w:rPr>
          <w:lang w:val="en-GB"/>
        </w:rPr>
        <w:t>,</w:t>
      </w:r>
      <w:r>
        <w:rPr>
          <w:lang w:val="en-GB"/>
        </w:rPr>
        <w:t xml:space="preserve"> that are proactively concerned with the general health and well-being of employees. The Board provides input and advice on programme development, including the current programme under review, </w:t>
      </w:r>
      <w:r w:rsidR="006E636F">
        <w:rPr>
          <w:lang w:val="en-GB"/>
        </w:rPr>
        <w:t xml:space="preserve">suggestions on guest lecturers </w:t>
      </w:r>
      <w:r w:rsidR="00AB0E24">
        <w:rPr>
          <w:lang w:val="en-GB"/>
        </w:rPr>
        <w:t>and advises</w:t>
      </w:r>
      <w:r w:rsidR="006E636F">
        <w:rPr>
          <w:lang w:val="en-GB"/>
        </w:rPr>
        <w:t xml:space="preserve"> </w:t>
      </w:r>
      <w:r w:rsidR="00AB0E24">
        <w:rPr>
          <w:lang w:val="en-GB"/>
        </w:rPr>
        <w:t>on</w:t>
      </w:r>
      <w:r w:rsidR="006E636F">
        <w:rPr>
          <w:lang w:val="en-GB"/>
        </w:rPr>
        <w:t xml:space="preserve"> </w:t>
      </w:r>
      <w:r w:rsidR="00AB0E24">
        <w:rPr>
          <w:lang w:val="en-GB"/>
        </w:rPr>
        <w:t>emerging</w:t>
      </w:r>
      <w:r w:rsidR="00513AF7">
        <w:rPr>
          <w:lang w:val="en-GB"/>
        </w:rPr>
        <w:t xml:space="preserve"> </w:t>
      </w:r>
      <w:r w:rsidR="00AB0E24">
        <w:rPr>
          <w:lang w:val="en-GB"/>
        </w:rPr>
        <w:t>areas</w:t>
      </w:r>
      <w:r w:rsidR="006E636F">
        <w:rPr>
          <w:lang w:val="en-GB"/>
        </w:rPr>
        <w:t xml:space="preserve"> for research</w:t>
      </w:r>
      <w:r w:rsidR="00AB0E24">
        <w:rPr>
          <w:lang w:val="en-GB"/>
        </w:rPr>
        <w:t xml:space="preserve"> or inclusion in the programme</w:t>
      </w:r>
      <w:r w:rsidR="006E636F">
        <w:rPr>
          <w:lang w:val="en-GB"/>
        </w:rPr>
        <w:t>. It was stated that th</w:t>
      </w:r>
      <w:r w:rsidR="00513AF7">
        <w:rPr>
          <w:lang w:val="en-GB"/>
        </w:rPr>
        <w:t>e</w:t>
      </w:r>
      <w:r w:rsidR="006E636F">
        <w:rPr>
          <w:lang w:val="en-GB"/>
        </w:rPr>
        <w:t xml:space="preserve"> Board is supportive of the proposed programme and considered that there would be opportunities for graduates with this qualification.</w:t>
      </w:r>
    </w:p>
    <w:p w14:paraId="617900E4" w14:textId="1D4665E6" w:rsidR="00A60770" w:rsidRDefault="00A60770" w:rsidP="004905F3">
      <w:pPr>
        <w:rPr>
          <w:lang w:val="en-GB"/>
        </w:rPr>
      </w:pPr>
      <w:r>
        <w:rPr>
          <w:lang w:val="en-GB"/>
        </w:rPr>
        <w:t>It was noted that DBS intend to apply</w:t>
      </w:r>
      <w:r w:rsidR="00AB0E24">
        <w:rPr>
          <w:lang w:val="en-GB"/>
        </w:rPr>
        <w:t xml:space="preserve"> to the Psychological Society of Ireland (PSI) </w:t>
      </w:r>
      <w:r>
        <w:rPr>
          <w:lang w:val="en-GB"/>
        </w:rPr>
        <w:t>for accreditation</w:t>
      </w:r>
      <w:r w:rsidR="00AB0E24">
        <w:rPr>
          <w:lang w:val="en-GB"/>
        </w:rPr>
        <w:t xml:space="preserve"> </w:t>
      </w:r>
      <w:r w:rsidR="00513AF7">
        <w:rPr>
          <w:lang w:val="en-GB"/>
        </w:rPr>
        <w:t>of</w:t>
      </w:r>
      <w:r>
        <w:rPr>
          <w:lang w:val="en-GB"/>
        </w:rPr>
        <w:t xml:space="preserve"> the programme and that, in the design of the programme, account had been taken of its specific requirements in relation to Health Psychology.</w:t>
      </w:r>
      <w:r w:rsidR="006E636F">
        <w:rPr>
          <w:lang w:val="en-GB"/>
        </w:rPr>
        <w:t xml:space="preserve"> See Criterion 4 and 6 for further comment on this.</w:t>
      </w:r>
    </w:p>
    <w:p w14:paraId="6C4D801C" w14:textId="1F50DCDD" w:rsidR="005211C1" w:rsidRDefault="005211C1" w:rsidP="005211C1">
      <w:pPr>
        <w:rPr>
          <w:b/>
          <w:bCs/>
          <w:lang w:val="en-GB"/>
        </w:rPr>
      </w:pPr>
      <w:r>
        <w:rPr>
          <w:b/>
          <w:bCs/>
          <w:lang w:val="en-GB"/>
        </w:rPr>
        <w:t>Commendation</w:t>
      </w:r>
    </w:p>
    <w:p w14:paraId="7438AE7A" w14:textId="77777777" w:rsidR="005211C1" w:rsidRPr="008A3E20" w:rsidRDefault="005211C1" w:rsidP="005211C1">
      <w:pPr>
        <w:rPr>
          <w:b/>
          <w:bCs/>
          <w:lang w:val="en-GB"/>
        </w:rPr>
      </w:pPr>
      <w:r w:rsidRPr="008A3E20">
        <w:rPr>
          <w:b/>
          <w:bCs/>
          <w:lang w:val="en-GB"/>
        </w:rPr>
        <w:t>The panel commends DBS for its industry links and networks, including the DBS Industry Advisory Board for Human and Social Sciences.</w:t>
      </w:r>
    </w:p>
    <w:p w14:paraId="6A245A96" w14:textId="77777777" w:rsidR="0030552D" w:rsidRPr="008A3E20" w:rsidRDefault="0030552D" w:rsidP="004905F3">
      <w:pPr>
        <w:rPr>
          <w:b/>
          <w:bCs/>
          <w:lang w:val="en-GB"/>
        </w:rPr>
      </w:pPr>
    </w:p>
    <w:p w14:paraId="24B07137" w14:textId="77777777" w:rsidR="00F060AB" w:rsidRPr="004905F3" w:rsidRDefault="00BC1208" w:rsidP="00F060AB">
      <w:pPr>
        <w:rPr>
          <w:rFonts w:eastAsia="Times New Roman" w:cstheme="minorHAnsi"/>
          <w:b/>
          <w:bCs/>
          <w:sz w:val="24"/>
          <w:szCs w:val="24"/>
        </w:rPr>
      </w:pPr>
      <w:r w:rsidRPr="004905F3">
        <w:rPr>
          <w:rFonts w:eastAsia="Times New Roman" w:cstheme="minorHAnsi"/>
          <w:b/>
          <w:bCs/>
          <w:sz w:val="24"/>
          <w:szCs w:val="24"/>
        </w:rPr>
        <w:br w:type="page"/>
      </w:r>
    </w:p>
    <w:p w14:paraId="1FF41383" w14:textId="77777777" w:rsidR="00F060AB" w:rsidRPr="003546AE" w:rsidRDefault="00BC1208" w:rsidP="0048373B">
      <w:pPr>
        <w:pStyle w:val="Criterion"/>
        <w:ind w:left="1134" w:hanging="1134"/>
      </w:pPr>
      <w:r w:rsidRPr="003546AE">
        <w:t>The programme’s access, transfer and progression arrangements are satisfactory</w:t>
      </w:r>
    </w:p>
    <w:tbl>
      <w:tblPr>
        <w:tblStyle w:val="TableGrid"/>
        <w:tblW w:w="0" w:type="auto"/>
        <w:tblInd w:w="-5" w:type="dxa"/>
        <w:tblLook w:val="04A0" w:firstRow="1" w:lastRow="0" w:firstColumn="1" w:lastColumn="0" w:noHBand="0" w:noVBand="1"/>
      </w:tblPr>
      <w:tblGrid>
        <w:gridCol w:w="2694"/>
        <w:gridCol w:w="1417"/>
        <w:gridCol w:w="4910"/>
      </w:tblGrid>
      <w:tr w:rsidR="00F060AB" w:rsidRPr="003546AE" w14:paraId="25024703" w14:textId="77777777" w:rsidTr="00302DC7">
        <w:tc>
          <w:tcPr>
            <w:tcW w:w="9021" w:type="dxa"/>
            <w:gridSpan w:val="3"/>
            <w:shd w:val="clear" w:color="auto" w:fill="D9E2F3" w:themeFill="accent1" w:themeFillTint="33"/>
          </w:tcPr>
          <w:p w14:paraId="719D5BD5" w14:textId="77777777" w:rsidR="00F060A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10"/>
            </w:r>
            <w:r w:rsidRPr="003546AE">
              <w:rPr>
                <w:rFonts w:eastAsia="Times New Roman" w:cstheme="minorHAnsi"/>
                <w:sz w:val="20"/>
                <w:szCs w:val="20"/>
              </w:rPr>
              <w:t xml:space="preserve">.   </w:t>
            </w:r>
          </w:p>
          <w:p w14:paraId="3CD8F304" w14:textId="77777777" w:rsidR="00F060A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F060A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11"/>
            </w:r>
            <w:r w:rsidRPr="003546AE">
              <w:rPr>
                <w:rFonts w:eastAsia="Times New Roman" w:cstheme="minorHAnsi"/>
                <w:sz w:val="20"/>
                <w:szCs w:val="20"/>
              </w:rPr>
              <w:t>) in order to enable learners to reach the required standard for the QQI award.</w:t>
            </w:r>
          </w:p>
          <w:p w14:paraId="299A45A6" w14:textId="77777777" w:rsidR="00F060A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skill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F060A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F060AB" w:rsidRPr="003546AE" w:rsidRDefault="00BC1208"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2D70A623" w14:textId="77777777" w:rsidR="00F060AB"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intended programme learning outcomes</w:t>
            </w:r>
            <w:r w:rsidRPr="003546AE">
              <w:rPr>
                <w:rFonts w:eastAsia="Times New Roman" w:cstheme="minorHAnsi"/>
                <w:sz w:val="20"/>
                <w:szCs w:val="20"/>
                <w:lang w:eastAsia="en-IE"/>
              </w:rPr>
              <w:t>, and is consistent with the standards and purposes of the QQI awards to which it leads, the award title(s) and their class(es).</w:t>
            </w:r>
          </w:p>
          <w:p w14:paraId="55A24702" w14:textId="77777777" w:rsidR="00F060AB"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Is learner focused and meaningful to the learners;</w:t>
            </w:r>
          </w:p>
          <w:p w14:paraId="4D8AFDB4" w14:textId="77777777" w:rsidR="00F060AB"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F060AB" w:rsidRPr="003546AE" w:rsidRDefault="00BC1208" w:rsidP="00302DC7">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The programme title is otherwise legitimate; for example, it must comply with applicable statutory, regulatory and professional body requirements.</w:t>
            </w:r>
          </w:p>
        </w:tc>
      </w:tr>
      <w:tr w:rsidR="00F060AB" w:rsidRPr="003546AE" w14:paraId="1221086E" w14:textId="77777777" w:rsidTr="00AC46AA">
        <w:tc>
          <w:tcPr>
            <w:tcW w:w="2694" w:type="dxa"/>
            <w:shd w:val="clear" w:color="auto" w:fill="D9E2F3" w:themeFill="accent1" w:themeFillTint="33"/>
          </w:tcPr>
          <w:p w14:paraId="636AFC47" w14:textId="40459DB6"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7" w:type="dxa"/>
            <w:shd w:val="clear" w:color="auto" w:fill="D9E2F3" w:themeFill="accent1" w:themeFillTint="33"/>
          </w:tcPr>
          <w:p w14:paraId="1A5D26DB"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4910" w:type="dxa"/>
            <w:shd w:val="clear" w:color="auto" w:fill="D9E2F3" w:themeFill="accent1" w:themeFillTint="33"/>
          </w:tcPr>
          <w:p w14:paraId="02A86B17"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4AF093F4" w14:textId="77777777" w:rsidTr="00AC46AA">
        <w:tc>
          <w:tcPr>
            <w:tcW w:w="2694" w:type="dxa"/>
            <w:shd w:val="clear" w:color="auto" w:fill="FFFFFF" w:themeFill="background1"/>
          </w:tcPr>
          <w:p w14:paraId="63718ADD" w14:textId="722CDBE3"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417" w:type="dxa"/>
            <w:shd w:val="clear" w:color="auto" w:fill="FFFFFF" w:themeFill="background1"/>
          </w:tcPr>
          <w:p w14:paraId="15E93DCB" w14:textId="06AA2D40"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4910" w:type="dxa"/>
            <w:shd w:val="clear" w:color="auto" w:fill="FFFFFF" w:themeFill="background1"/>
          </w:tcPr>
          <w:p w14:paraId="43E96FDC" w14:textId="77777777" w:rsidR="00F060AB" w:rsidRDefault="00D35F8D" w:rsidP="00302DC7">
            <w:pPr>
              <w:contextualSpacing/>
              <w:rPr>
                <w:rFonts w:eastAsia="Times New Roman" w:cstheme="minorHAnsi"/>
                <w:sz w:val="20"/>
                <w:szCs w:val="20"/>
              </w:rPr>
            </w:pPr>
          </w:p>
          <w:p w14:paraId="428BB8F3" w14:textId="77777777" w:rsidR="00AC46AA" w:rsidRDefault="00D35F8D" w:rsidP="00302DC7">
            <w:pPr>
              <w:contextualSpacing/>
              <w:rPr>
                <w:rFonts w:eastAsia="Times New Roman" w:cstheme="minorHAnsi"/>
                <w:sz w:val="20"/>
                <w:szCs w:val="20"/>
              </w:rPr>
            </w:pPr>
          </w:p>
          <w:p w14:paraId="7CBCA3FF" w14:textId="77777777" w:rsidR="00AC46AA" w:rsidRDefault="00D35F8D" w:rsidP="00302DC7">
            <w:pPr>
              <w:contextualSpacing/>
              <w:rPr>
                <w:rFonts w:eastAsia="Times New Roman" w:cstheme="minorHAnsi"/>
                <w:sz w:val="20"/>
                <w:szCs w:val="20"/>
              </w:rPr>
            </w:pPr>
          </w:p>
          <w:p w14:paraId="2FF451BD" w14:textId="05432A5B" w:rsidR="00AC46AA" w:rsidRPr="003546AE" w:rsidRDefault="00D35F8D" w:rsidP="00302DC7">
            <w:pPr>
              <w:contextualSpacing/>
              <w:rPr>
                <w:rFonts w:eastAsia="Times New Roman" w:cstheme="minorHAnsi"/>
                <w:sz w:val="20"/>
                <w:szCs w:val="20"/>
              </w:rPr>
            </w:pPr>
          </w:p>
        </w:tc>
      </w:tr>
      <w:tr w:rsidR="00F060AB" w:rsidRPr="003546AE" w14:paraId="564A792B" w14:textId="77777777" w:rsidTr="00AC46AA">
        <w:tc>
          <w:tcPr>
            <w:tcW w:w="2694" w:type="dxa"/>
            <w:shd w:val="clear" w:color="auto" w:fill="FFFFFF" w:themeFill="background1"/>
          </w:tcPr>
          <w:p w14:paraId="7435F676" w14:textId="7948A48E"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417" w:type="dxa"/>
            <w:shd w:val="clear" w:color="auto" w:fill="FFFFFF" w:themeFill="background1"/>
          </w:tcPr>
          <w:p w14:paraId="553D0C18" w14:textId="66506E33"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4910" w:type="dxa"/>
            <w:shd w:val="clear" w:color="auto" w:fill="FFFFFF" w:themeFill="background1"/>
          </w:tcPr>
          <w:p w14:paraId="65D1BEC9" w14:textId="77777777" w:rsidR="00F060AB" w:rsidRDefault="00D35F8D" w:rsidP="00302DC7">
            <w:pPr>
              <w:contextualSpacing/>
              <w:rPr>
                <w:rFonts w:eastAsia="Times New Roman" w:cstheme="minorHAnsi"/>
                <w:sz w:val="20"/>
                <w:szCs w:val="20"/>
              </w:rPr>
            </w:pPr>
          </w:p>
          <w:p w14:paraId="69B5F6C3" w14:textId="77777777" w:rsidR="00AC46AA" w:rsidRDefault="00D35F8D" w:rsidP="00302DC7">
            <w:pPr>
              <w:contextualSpacing/>
              <w:rPr>
                <w:rFonts w:eastAsia="Times New Roman" w:cstheme="minorHAnsi"/>
                <w:sz w:val="20"/>
                <w:szCs w:val="20"/>
              </w:rPr>
            </w:pPr>
          </w:p>
          <w:p w14:paraId="1AAE3CD5" w14:textId="77777777" w:rsidR="00AC46AA" w:rsidRDefault="00D35F8D" w:rsidP="00302DC7">
            <w:pPr>
              <w:contextualSpacing/>
              <w:rPr>
                <w:rFonts w:eastAsia="Times New Roman" w:cstheme="minorHAnsi"/>
                <w:sz w:val="20"/>
                <w:szCs w:val="20"/>
              </w:rPr>
            </w:pPr>
          </w:p>
          <w:p w14:paraId="2205DF0B" w14:textId="04C87E9F" w:rsidR="00AC46AA" w:rsidRPr="003546AE" w:rsidRDefault="00D35F8D" w:rsidP="00302DC7">
            <w:pPr>
              <w:contextualSpacing/>
              <w:rPr>
                <w:rFonts w:eastAsia="Times New Roman" w:cstheme="minorHAnsi"/>
                <w:sz w:val="20"/>
                <w:szCs w:val="20"/>
              </w:rPr>
            </w:pPr>
          </w:p>
        </w:tc>
      </w:tr>
    </w:tbl>
    <w:p w14:paraId="7C448F01" w14:textId="0FA1E08D" w:rsidR="005432C9" w:rsidRDefault="005432C9" w:rsidP="00F060AB">
      <w:pPr>
        <w:rPr>
          <w:rFonts w:eastAsia="Times New Roman" w:cstheme="minorHAnsi"/>
          <w:b/>
          <w:bCs/>
          <w:sz w:val="24"/>
          <w:szCs w:val="24"/>
        </w:rPr>
      </w:pPr>
    </w:p>
    <w:p w14:paraId="503034EC" w14:textId="713EA2D7" w:rsidR="002708CB" w:rsidRPr="00CE6E39" w:rsidRDefault="002708CB" w:rsidP="00F060AB">
      <w:pPr>
        <w:rPr>
          <w:rFonts w:eastAsia="Times New Roman" w:cstheme="minorHAnsi"/>
        </w:rPr>
      </w:pPr>
      <w:r w:rsidRPr="00CE6E39">
        <w:rPr>
          <w:rFonts w:eastAsia="Times New Roman" w:cstheme="minorHAnsi"/>
        </w:rPr>
        <w:t>The panel is generally satisfied that the arrangements for the programme’s access, transfer and progression are in place.</w:t>
      </w:r>
    </w:p>
    <w:p w14:paraId="04B337BA" w14:textId="7F83C3B1" w:rsidR="00FC725B" w:rsidRDefault="003F4164" w:rsidP="004905F3">
      <w:pPr>
        <w:rPr>
          <w:lang w:val="en-GB"/>
        </w:rPr>
      </w:pPr>
      <w:r>
        <w:rPr>
          <w:lang w:val="en-GB"/>
        </w:rPr>
        <w:t>As</w:t>
      </w:r>
      <w:r w:rsidR="00E61F69">
        <w:rPr>
          <w:lang w:val="en-GB"/>
        </w:rPr>
        <w:t xml:space="preserve"> noted in Criterion 3 above</w:t>
      </w:r>
      <w:r w:rsidR="00AB0E24">
        <w:rPr>
          <w:lang w:val="en-GB"/>
        </w:rPr>
        <w:t>,</w:t>
      </w:r>
      <w:r w:rsidR="00E61F69">
        <w:rPr>
          <w:lang w:val="en-GB"/>
        </w:rPr>
        <w:t xml:space="preserve"> it is DBS’s intention to ensure that graduates of the proposed programme will be eligible to apply PSI Health Psychology </w:t>
      </w:r>
      <w:r w:rsidR="009A7FD6">
        <w:rPr>
          <w:lang w:val="en-GB"/>
        </w:rPr>
        <w:t>D</w:t>
      </w:r>
      <w:r w:rsidR="00E61F69">
        <w:rPr>
          <w:lang w:val="en-GB"/>
        </w:rPr>
        <w:t>ivision</w:t>
      </w:r>
      <w:r w:rsidR="009A7FD6">
        <w:rPr>
          <w:lang w:val="en-GB"/>
        </w:rPr>
        <w:t xml:space="preserve"> membership</w:t>
      </w:r>
      <w:r w:rsidR="00E61F69">
        <w:rPr>
          <w:lang w:val="en-GB"/>
        </w:rPr>
        <w:t xml:space="preserve">. </w:t>
      </w:r>
      <w:r w:rsidR="00315007">
        <w:rPr>
          <w:lang w:val="en-GB"/>
        </w:rPr>
        <w:t>Accreditation by</w:t>
      </w:r>
      <w:r w:rsidR="00AB0E24">
        <w:rPr>
          <w:lang w:val="en-GB"/>
        </w:rPr>
        <w:t xml:space="preserve"> the</w:t>
      </w:r>
      <w:r>
        <w:rPr>
          <w:lang w:val="en-GB"/>
        </w:rPr>
        <w:t xml:space="preserve"> </w:t>
      </w:r>
      <w:r w:rsidR="00315007">
        <w:rPr>
          <w:lang w:val="en-GB"/>
        </w:rPr>
        <w:t>PSI would most likely require that the</w:t>
      </w:r>
      <w:r w:rsidR="00AB0E24">
        <w:rPr>
          <w:lang w:val="en-GB"/>
        </w:rPr>
        <w:t xml:space="preserve"> proposed</w:t>
      </w:r>
      <w:r w:rsidR="00315007">
        <w:rPr>
          <w:lang w:val="en-GB"/>
        </w:rPr>
        <w:t xml:space="preserve"> programme be led from the start by a registered/</w:t>
      </w:r>
      <w:r w:rsidR="00E12C18">
        <w:rPr>
          <w:lang w:val="en-GB"/>
        </w:rPr>
        <w:t xml:space="preserve">chartered </w:t>
      </w:r>
      <w:r w:rsidR="00315007">
        <w:rPr>
          <w:lang w:val="en-GB"/>
        </w:rPr>
        <w:t>Health Psychologist. If this is not the case, graduates of the proposed programme may not meet the stringent requirements of the professional bod</w:t>
      </w:r>
      <w:r>
        <w:rPr>
          <w:lang w:val="en-GB"/>
        </w:rPr>
        <w:t>y</w:t>
      </w:r>
      <w:r w:rsidR="00315007">
        <w:rPr>
          <w:lang w:val="en-GB"/>
        </w:rPr>
        <w:t xml:space="preserve"> and their study/career progress</w:t>
      </w:r>
      <w:r w:rsidR="00237D3C">
        <w:rPr>
          <w:lang w:val="en-GB"/>
        </w:rPr>
        <w:t>ion</w:t>
      </w:r>
      <w:r w:rsidR="00315007">
        <w:rPr>
          <w:lang w:val="en-GB"/>
        </w:rPr>
        <w:t xml:space="preserve"> may be affected. See Criterion 6 for further comment</w:t>
      </w:r>
      <w:r w:rsidR="00FC725B">
        <w:rPr>
          <w:lang w:val="en-GB"/>
        </w:rPr>
        <w:t xml:space="preserve"> and condition set.</w:t>
      </w:r>
    </w:p>
    <w:p w14:paraId="378C9A93" w14:textId="22CD78D6" w:rsidR="00FC725B" w:rsidRDefault="00FC725B" w:rsidP="00FC725B">
      <w:bookmarkStart w:id="2" w:name="_Hlk102402330"/>
      <w:r>
        <w:t xml:space="preserve">It was stated that it is mandatory </w:t>
      </w:r>
      <w:r w:rsidR="00237D3C">
        <w:t>for</w:t>
      </w:r>
      <w:r>
        <w:t xml:space="preserve"> learners</w:t>
      </w:r>
      <w:r w:rsidR="00237D3C">
        <w:t xml:space="preserve"> to</w:t>
      </w:r>
      <w:r>
        <w:t xml:space="preserve"> pass every module in order to graduate. It was stated th</w:t>
      </w:r>
      <w:r w:rsidR="003F4164">
        <w:t>e</w:t>
      </w:r>
      <w:r>
        <w:t xml:space="preserve"> cohort of learners who do not pass the modules taken in semesters 1 &amp; 2 may continue </w:t>
      </w:r>
      <w:r w:rsidR="00237D3C">
        <w:t xml:space="preserve">to progress work on </w:t>
      </w:r>
      <w:r>
        <w:t>their Capstone project</w:t>
      </w:r>
      <w:r w:rsidR="00237D3C">
        <w:t>. This is</w:t>
      </w:r>
      <w:r>
        <w:t xml:space="preserve"> generally completed in semester </w:t>
      </w:r>
      <w:r w:rsidR="00237D3C">
        <w:t>3.</w:t>
      </w:r>
      <w:r w:rsidR="00237D3C" w:rsidRPr="00237D3C">
        <w:t xml:space="preserve"> </w:t>
      </w:r>
      <w:r w:rsidR="00237D3C">
        <w:t>There is not a pre-requisite for learners to have passed the two taught modules in qualitative and quantitative research before embarking on the formal research project, the panel was told. Learners may</w:t>
      </w:r>
      <w:r>
        <w:t xml:space="preserve"> repeat</w:t>
      </w:r>
      <w:r w:rsidR="00237D3C">
        <w:t xml:space="preserve"> any</w:t>
      </w:r>
      <w:r>
        <w:t xml:space="preserve"> modules</w:t>
      </w:r>
      <w:r w:rsidR="002F77A7">
        <w:t xml:space="preserve"> which they have not passed</w:t>
      </w:r>
      <w:r>
        <w:t xml:space="preserve"> </w:t>
      </w:r>
      <w:r w:rsidR="002F77A7">
        <w:t>in July/August</w:t>
      </w:r>
      <w:r w:rsidR="00237D3C">
        <w:t xml:space="preserve"> as required</w:t>
      </w:r>
      <w:r w:rsidR="003F4164">
        <w:t>.</w:t>
      </w:r>
      <w:r>
        <w:t xml:space="preserve"> </w:t>
      </w:r>
    </w:p>
    <w:p w14:paraId="2812BD84" w14:textId="06435F1F" w:rsidR="00FC725B" w:rsidRDefault="00FC725B" w:rsidP="00FC725B">
      <w:r>
        <w:t xml:space="preserve">In further discussion, the programme team indicated that it was felt that, in general, learners at this level would have sufficient knowledge and skill </w:t>
      </w:r>
      <w:r w:rsidR="002F77A7">
        <w:t>to</w:t>
      </w:r>
      <w:r>
        <w:t xml:space="preserve"> undertak</w:t>
      </w:r>
      <w:r w:rsidR="002F77A7">
        <w:t>e</w:t>
      </w:r>
      <w:r>
        <w:t xml:space="preserve"> the research project, even if they had not successfully completed the taught research modules. The panel considered that it would be advisable for DBS to review the policy on progression from taught elements to the Capstone project to ensure that there is full clarity for facult</w:t>
      </w:r>
      <w:r w:rsidR="00CC2FDE">
        <w:t>y,</w:t>
      </w:r>
      <w:r w:rsidR="00B35DC5">
        <w:t xml:space="preserve"> </w:t>
      </w:r>
      <w:r>
        <w:t>learners</w:t>
      </w:r>
      <w:r w:rsidR="00E12C18">
        <w:t xml:space="preserve"> and external examiners</w:t>
      </w:r>
      <w:r>
        <w:t>.</w:t>
      </w:r>
    </w:p>
    <w:p w14:paraId="556A5242" w14:textId="094DE442" w:rsidR="004905F3" w:rsidRPr="00FC725B" w:rsidRDefault="004905F3" w:rsidP="004905F3">
      <w:pPr>
        <w:rPr>
          <w:lang w:val="en-GB"/>
        </w:rPr>
      </w:pPr>
      <w:r w:rsidRPr="004905F3">
        <w:rPr>
          <w:b/>
          <w:bCs/>
          <w:lang w:val="en-GB"/>
        </w:rPr>
        <w:t>Recommendation</w:t>
      </w:r>
    </w:p>
    <w:p w14:paraId="3E8A7565" w14:textId="2C4A21BA" w:rsidR="007F522D" w:rsidRDefault="004905F3" w:rsidP="00F060AB">
      <w:pPr>
        <w:rPr>
          <w:b/>
          <w:bCs/>
          <w:lang w:val="en-GB"/>
        </w:rPr>
      </w:pPr>
      <w:r w:rsidRPr="004905F3">
        <w:rPr>
          <w:b/>
          <w:bCs/>
          <w:lang w:val="en-GB"/>
        </w:rPr>
        <w:t>It is recommended that DBS ensure that there is clarity around the policy on progression from the taught elements of the course to the dissertation</w:t>
      </w:r>
      <w:r w:rsidR="005F323C">
        <w:rPr>
          <w:b/>
          <w:bCs/>
          <w:lang w:val="en-GB"/>
        </w:rPr>
        <w:t>.</w:t>
      </w:r>
    </w:p>
    <w:p w14:paraId="3AC4B0D4" w14:textId="031B0BD4" w:rsidR="005432C9" w:rsidRPr="003F4164" w:rsidRDefault="007F522D" w:rsidP="00F060AB">
      <w:pPr>
        <w:rPr>
          <w:b/>
          <w:bCs/>
          <w:lang w:val="en-GB"/>
        </w:rPr>
      </w:pPr>
      <w:r>
        <w:rPr>
          <w:b/>
          <w:bCs/>
          <w:lang w:val="en-GB"/>
        </w:rPr>
        <w:br w:type="page"/>
      </w:r>
      <w:bookmarkEnd w:id="2"/>
    </w:p>
    <w:p w14:paraId="2D516806" w14:textId="77777777" w:rsidR="00F060AB" w:rsidRPr="00BF7A5C" w:rsidRDefault="00BC1208" w:rsidP="0048373B">
      <w:pPr>
        <w:pStyle w:val="Criterion"/>
        <w:ind w:left="1134" w:hanging="1134"/>
      </w:pPr>
      <w:r>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2552"/>
        <w:gridCol w:w="1417"/>
        <w:gridCol w:w="5052"/>
      </w:tblGrid>
      <w:tr w:rsidR="00F060AB" w:rsidRPr="003546AE" w14:paraId="259386CE" w14:textId="77777777" w:rsidTr="00302DC7">
        <w:tc>
          <w:tcPr>
            <w:tcW w:w="9021" w:type="dxa"/>
            <w:gridSpan w:val="3"/>
            <w:shd w:val="clear" w:color="auto" w:fill="D9E2F3" w:themeFill="accent1" w:themeFillTint="33"/>
          </w:tcPr>
          <w:p w14:paraId="27106794"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is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w:t>
            </w:r>
          </w:p>
          <w:p w14:paraId="6EFC6324"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F060A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77777777" w:rsidR="00F060AB" w:rsidRPr="003546AE" w:rsidRDefault="00BC1208"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3"/>
            </w:r>
          </w:p>
        </w:tc>
      </w:tr>
      <w:tr w:rsidR="00F060AB" w:rsidRPr="003546AE" w14:paraId="4B0B4076" w14:textId="77777777" w:rsidTr="00AC46AA">
        <w:tc>
          <w:tcPr>
            <w:tcW w:w="2552" w:type="dxa"/>
            <w:shd w:val="clear" w:color="auto" w:fill="D9E2F3" w:themeFill="accent1" w:themeFillTint="33"/>
          </w:tcPr>
          <w:p w14:paraId="27A75345" w14:textId="49C017F2"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7" w:type="dxa"/>
            <w:shd w:val="clear" w:color="auto" w:fill="D9E2F3" w:themeFill="accent1" w:themeFillTint="33"/>
          </w:tcPr>
          <w:p w14:paraId="59324E04"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052" w:type="dxa"/>
            <w:shd w:val="clear" w:color="auto" w:fill="D9E2F3" w:themeFill="accent1" w:themeFillTint="33"/>
          </w:tcPr>
          <w:p w14:paraId="79E7C205"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2C088D4" w14:textId="77777777" w:rsidTr="00AC46AA">
        <w:tc>
          <w:tcPr>
            <w:tcW w:w="2552" w:type="dxa"/>
            <w:shd w:val="clear" w:color="auto" w:fill="FFFFFF" w:themeFill="background1"/>
          </w:tcPr>
          <w:p w14:paraId="79E03E44" w14:textId="6BC16546"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417" w:type="dxa"/>
            <w:shd w:val="clear" w:color="auto" w:fill="FFFFFF" w:themeFill="background1"/>
          </w:tcPr>
          <w:p w14:paraId="2AC1A107" w14:textId="2B83BEFA"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72FBA4B6" w14:textId="77777777" w:rsidR="00F060AB" w:rsidRDefault="00D35F8D" w:rsidP="00302DC7">
            <w:pPr>
              <w:contextualSpacing/>
              <w:rPr>
                <w:rFonts w:eastAsia="Times New Roman" w:cstheme="minorHAnsi"/>
                <w:sz w:val="20"/>
                <w:szCs w:val="20"/>
              </w:rPr>
            </w:pPr>
          </w:p>
          <w:p w14:paraId="5C3CAAC3" w14:textId="77777777" w:rsidR="00AC46AA" w:rsidRDefault="00D35F8D" w:rsidP="00302DC7">
            <w:pPr>
              <w:contextualSpacing/>
              <w:rPr>
                <w:rFonts w:eastAsia="Times New Roman" w:cstheme="minorHAnsi"/>
                <w:sz w:val="20"/>
                <w:szCs w:val="20"/>
              </w:rPr>
            </w:pPr>
          </w:p>
          <w:p w14:paraId="45D12B44" w14:textId="77777777" w:rsidR="00AC46AA" w:rsidRDefault="00D35F8D" w:rsidP="00302DC7">
            <w:pPr>
              <w:contextualSpacing/>
              <w:rPr>
                <w:rFonts w:eastAsia="Times New Roman" w:cstheme="minorHAnsi"/>
                <w:sz w:val="20"/>
                <w:szCs w:val="20"/>
              </w:rPr>
            </w:pPr>
          </w:p>
          <w:p w14:paraId="614B59CA" w14:textId="1E6FE5D7" w:rsidR="00AC46AA" w:rsidRPr="003546AE" w:rsidRDefault="00D35F8D" w:rsidP="00302DC7">
            <w:pPr>
              <w:contextualSpacing/>
              <w:rPr>
                <w:rFonts w:eastAsia="Times New Roman" w:cstheme="minorHAnsi"/>
                <w:sz w:val="20"/>
                <w:szCs w:val="20"/>
              </w:rPr>
            </w:pPr>
          </w:p>
        </w:tc>
      </w:tr>
      <w:tr w:rsidR="00F060AB" w:rsidRPr="003546AE" w14:paraId="1C7C28EB" w14:textId="77777777" w:rsidTr="00AC46AA">
        <w:tc>
          <w:tcPr>
            <w:tcW w:w="2552" w:type="dxa"/>
            <w:shd w:val="clear" w:color="auto" w:fill="FFFFFF" w:themeFill="background1"/>
          </w:tcPr>
          <w:p w14:paraId="7DE8A28F" w14:textId="31BD8874"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417" w:type="dxa"/>
            <w:shd w:val="clear" w:color="auto" w:fill="FFFFFF" w:themeFill="background1"/>
          </w:tcPr>
          <w:p w14:paraId="60B13079" w14:textId="42D50FC8"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3332116F" w14:textId="77777777" w:rsidR="00F060AB" w:rsidRDefault="00D35F8D" w:rsidP="00302DC7">
            <w:pPr>
              <w:contextualSpacing/>
              <w:rPr>
                <w:rFonts w:eastAsia="Times New Roman" w:cstheme="minorHAnsi"/>
                <w:sz w:val="20"/>
                <w:szCs w:val="20"/>
              </w:rPr>
            </w:pPr>
          </w:p>
          <w:p w14:paraId="2AD17BAB" w14:textId="77777777" w:rsidR="00AC46AA" w:rsidRDefault="00D35F8D" w:rsidP="00302DC7">
            <w:pPr>
              <w:contextualSpacing/>
              <w:rPr>
                <w:rFonts w:eastAsia="Times New Roman" w:cstheme="minorHAnsi"/>
                <w:sz w:val="20"/>
                <w:szCs w:val="20"/>
              </w:rPr>
            </w:pPr>
          </w:p>
          <w:p w14:paraId="35C40112" w14:textId="77777777" w:rsidR="00AC46AA" w:rsidRDefault="00D35F8D" w:rsidP="00302DC7">
            <w:pPr>
              <w:contextualSpacing/>
              <w:rPr>
                <w:rFonts w:eastAsia="Times New Roman" w:cstheme="minorHAnsi"/>
                <w:sz w:val="20"/>
                <w:szCs w:val="20"/>
              </w:rPr>
            </w:pPr>
          </w:p>
          <w:p w14:paraId="089D7AC9" w14:textId="4182109C" w:rsidR="00AC46AA" w:rsidRPr="003546AE" w:rsidRDefault="00D35F8D" w:rsidP="00302DC7">
            <w:pPr>
              <w:contextualSpacing/>
              <w:rPr>
                <w:rFonts w:eastAsia="Times New Roman" w:cstheme="minorHAnsi"/>
                <w:sz w:val="20"/>
                <w:szCs w:val="20"/>
              </w:rPr>
            </w:pPr>
          </w:p>
        </w:tc>
      </w:tr>
    </w:tbl>
    <w:p w14:paraId="47A37BA7" w14:textId="77777777" w:rsidR="00F060AB" w:rsidRPr="003546AE" w:rsidRDefault="00D35F8D" w:rsidP="00F060AB">
      <w:pPr>
        <w:ind w:left="720"/>
        <w:contextualSpacing/>
        <w:rPr>
          <w:rFonts w:cstheme="minorHAnsi"/>
        </w:rPr>
      </w:pPr>
    </w:p>
    <w:p w14:paraId="0623190C" w14:textId="026B1314" w:rsidR="00390325" w:rsidRPr="00390325" w:rsidRDefault="00390325" w:rsidP="00390325">
      <w:pPr>
        <w:pStyle w:val="Criterion"/>
        <w:numPr>
          <w:ilvl w:val="0"/>
          <w:numId w:val="0"/>
        </w:numPr>
        <w:rPr>
          <w:b w:val="0"/>
          <w:bCs/>
        </w:rPr>
      </w:pPr>
      <w:r w:rsidRPr="00390325">
        <w:rPr>
          <w:b w:val="0"/>
          <w:bCs/>
        </w:rPr>
        <w:t>The panel is satisfied that the programme’s written curriculum is well structured and fit-for-purpose.</w:t>
      </w:r>
    </w:p>
    <w:p w14:paraId="6D6D93FE" w14:textId="1B264085" w:rsidR="00CE4180" w:rsidRDefault="00CE4180" w:rsidP="00CE4180">
      <w:pPr>
        <w:rPr>
          <w:lang w:val="en-GB"/>
        </w:rPr>
      </w:pPr>
      <w:r>
        <w:rPr>
          <w:lang w:val="en-GB"/>
        </w:rPr>
        <w:t>As noted in Criterion 3 above, DBS indicated that there was a long-term plan to have a stand-alone MSc in Health Psychology, building on DBS’s existing MSc in Applied</w:t>
      </w:r>
      <w:r w:rsidR="002F77A7">
        <w:rPr>
          <w:lang w:val="en-GB"/>
        </w:rPr>
        <w:t xml:space="preserve"> Psychology. </w:t>
      </w:r>
      <w:r>
        <w:rPr>
          <w:lang w:val="en-GB"/>
        </w:rPr>
        <w:t xml:space="preserve">The Health Psychology </w:t>
      </w:r>
      <w:r w:rsidR="00D21FB9">
        <w:rPr>
          <w:lang w:val="en-GB"/>
        </w:rPr>
        <w:t>programme</w:t>
      </w:r>
      <w:r w:rsidR="002F77A7">
        <w:rPr>
          <w:lang w:val="en-GB"/>
        </w:rPr>
        <w:t xml:space="preserve"> </w:t>
      </w:r>
      <w:r>
        <w:rPr>
          <w:lang w:val="en-GB"/>
        </w:rPr>
        <w:t xml:space="preserve">will </w:t>
      </w:r>
      <w:r w:rsidR="00D21FB9">
        <w:rPr>
          <w:lang w:val="en-GB"/>
        </w:rPr>
        <w:t>share modules</w:t>
      </w:r>
      <w:r>
        <w:rPr>
          <w:lang w:val="en-GB"/>
        </w:rPr>
        <w:t xml:space="preserve"> with the Applied Psychology programme (30ECTS) as part of the proposed curriculum</w:t>
      </w:r>
      <w:r w:rsidR="002F77A7">
        <w:rPr>
          <w:lang w:val="en-GB"/>
        </w:rPr>
        <w:t xml:space="preserve"> for the stand-alone programme.</w:t>
      </w:r>
    </w:p>
    <w:p w14:paraId="59BF4DDF" w14:textId="0EC15552" w:rsidR="005C6E7A" w:rsidRDefault="002F77A7" w:rsidP="00CE4180">
      <w:pPr>
        <w:rPr>
          <w:lang w:val="en-GB"/>
        </w:rPr>
      </w:pPr>
      <w:r>
        <w:rPr>
          <w:lang w:val="en-GB"/>
        </w:rPr>
        <w:t>There are a</w:t>
      </w:r>
      <w:r w:rsidR="00CE4180">
        <w:rPr>
          <w:lang w:val="en-GB"/>
        </w:rPr>
        <w:t>dditional modules (30ECTS)</w:t>
      </w:r>
      <w:r w:rsidR="007B14FB">
        <w:rPr>
          <w:lang w:val="en-GB"/>
        </w:rPr>
        <w:t xml:space="preserve"> </w:t>
      </w:r>
      <w:r w:rsidR="00E12C18">
        <w:rPr>
          <w:lang w:val="en-GB"/>
        </w:rPr>
        <w:t xml:space="preserve">developed </w:t>
      </w:r>
      <w:r w:rsidR="00CE4180">
        <w:rPr>
          <w:lang w:val="en-GB"/>
        </w:rPr>
        <w:t>specifically for the proposed programme,</w:t>
      </w:r>
      <w:r w:rsidR="007B14FB">
        <w:rPr>
          <w:lang w:val="en-GB"/>
        </w:rPr>
        <w:t xml:space="preserve"> </w:t>
      </w:r>
      <w:r w:rsidR="00E12C18">
        <w:rPr>
          <w:lang w:val="en-GB"/>
        </w:rPr>
        <w:t xml:space="preserve">that </w:t>
      </w:r>
      <w:r w:rsidR="007B14FB">
        <w:rPr>
          <w:lang w:val="en-GB"/>
        </w:rPr>
        <w:t>include Survivorship</w:t>
      </w:r>
      <w:r w:rsidR="00E12C18">
        <w:rPr>
          <w:lang w:val="en-GB"/>
        </w:rPr>
        <w:t>,</w:t>
      </w:r>
      <w:r w:rsidR="007B14FB">
        <w:rPr>
          <w:lang w:val="en-GB"/>
        </w:rPr>
        <w:t xml:space="preserve"> Public and Community Health</w:t>
      </w:r>
      <w:r w:rsidR="003F4164">
        <w:rPr>
          <w:lang w:val="en-GB"/>
        </w:rPr>
        <w:t xml:space="preserve"> and</w:t>
      </w:r>
      <w:r>
        <w:rPr>
          <w:lang w:val="en-GB"/>
        </w:rPr>
        <w:t xml:space="preserve"> </w:t>
      </w:r>
      <w:r w:rsidR="007B14FB">
        <w:rPr>
          <w:lang w:val="en-GB"/>
        </w:rPr>
        <w:t>Personal Development and Stress Management</w:t>
      </w:r>
      <w:r w:rsidR="005C6E7A">
        <w:rPr>
          <w:lang w:val="en-GB"/>
        </w:rPr>
        <w:t>.</w:t>
      </w:r>
      <w:r>
        <w:rPr>
          <w:lang w:val="en-GB"/>
        </w:rPr>
        <w:t xml:space="preserve"> The panel was informed that the expertise to deliver these novel modules </w:t>
      </w:r>
      <w:r w:rsidR="000D40F1">
        <w:rPr>
          <w:lang w:val="en-GB"/>
        </w:rPr>
        <w:t xml:space="preserve">is available </w:t>
      </w:r>
      <w:r>
        <w:rPr>
          <w:lang w:val="en-GB"/>
        </w:rPr>
        <w:t xml:space="preserve">within the programme team. </w:t>
      </w:r>
    </w:p>
    <w:p w14:paraId="025E1BE3" w14:textId="437DED6A" w:rsidR="007B14FB" w:rsidRDefault="002F77A7" w:rsidP="00CE4180">
      <w:pPr>
        <w:rPr>
          <w:lang w:val="en-GB"/>
        </w:rPr>
      </w:pPr>
      <w:r>
        <w:rPr>
          <w:lang w:val="en-GB"/>
        </w:rPr>
        <w:t>It was stated that the</w:t>
      </w:r>
      <w:r w:rsidR="005C6E7A">
        <w:rPr>
          <w:lang w:val="en-GB"/>
        </w:rPr>
        <w:t xml:space="preserve"> emphasis and approach to the curriculum was on bringing psychology to life, applying theory to real life situations as well as ensuring that core skills such as research methods were embedded in the programme.</w:t>
      </w:r>
    </w:p>
    <w:p w14:paraId="35DE4C20" w14:textId="29D93F33" w:rsidR="00963BCD" w:rsidRDefault="00963BCD" w:rsidP="00CE4180">
      <w:pPr>
        <w:rPr>
          <w:lang w:val="en-GB"/>
        </w:rPr>
      </w:pPr>
      <w:r>
        <w:rPr>
          <w:lang w:val="en-GB"/>
        </w:rPr>
        <w:t>The final component of the MSc is a Capstone Project (30 ECTS)</w:t>
      </w:r>
      <w:r w:rsidR="003F4164">
        <w:rPr>
          <w:lang w:val="en-GB"/>
        </w:rPr>
        <w:t>.</w:t>
      </w:r>
      <w:r>
        <w:rPr>
          <w:lang w:val="en-GB"/>
        </w:rPr>
        <w:t xml:space="preserve"> Learners have the option of a research placement or a dissertation</w:t>
      </w:r>
      <w:r w:rsidR="005C2D48">
        <w:rPr>
          <w:lang w:val="en-GB"/>
        </w:rPr>
        <w:t>. See Criterion 8 for further comment on this area.</w:t>
      </w:r>
    </w:p>
    <w:p w14:paraId="63E15515" w14:textId="3C452D2C" w:rsidR="005C2D48" w:rsidRDefault="005C2D48" w:rsidP="00CE4180">
      <w:pPr>
        <w:rPr>
          <w:lang w:val="en-GB"/>
        </w:rPr>
      </w:pPr>
      <w:r>
        <w:rPr>
          <w:lang w:val="en-GB"/>
        </w:rPr>
        <w:t xml:space="preserve">In discussion with the teaching team, it was evident that there is a high level of enthusiasm and commitment </w:t>
      </w:r>
      <w:r w:rsidR="000D40F1">
        <w:rPr>
          <w:lang w:val="en-GB"/>
        </w:rPr>
        <w:t>for</w:t>
      </w:r>
      <w:r>
        <w:rPr>
          <w:lang w:val="en-GB"/>
        </w:rPr>
        <w:t xml:space="preserve"> delivery of</w:t>
      </w:r>
      <w:r w:rsidR="002C30CE">
        <w:rPr>
          <w:lang w:val="en-GB"/>
        </w:rPr>
        <w:t xml:space="preserve"> the</w:t>
      </w:r>
      <w:r>
        <w:rPr>
          <w:lang w:val="en-GB"/>
        </w:rPr>
        <w:t xml:space="preserve"> modules in the </w:t>
      </w:r>
      <w:r w:rsidR="000D40F1">
        <w:rPr>
          <w:lang w:val="en-GB"/>
        </w:rPr>
        <w:t>programme</w:t>
      </w:r>
      <w:r>
        <w:rPr>
          <w:lang w:val="en-GB"/>
        </w:rPr>
        <w:t>. The panel</w:t>
      </w:r>
      <w:r w:rsidR="00DD4DD1">
        <w:rPr>
          <w:lang w:val="en-GB"/>
        </w:rPr>
        <w:t xml:space="preserve"> considered that there </w:t>
      </w:r>
      <w:r w:rsidR="000D40F1">
        <w:rPr>
          <w:lang w:val="en-GB"/>
        </w:rPr>
        <w:t xml:space="preserve">may </w:t>
      </w:r>
      <w:r w:rsidR="00DD4DD1">
        <w:rPr>
          <w:lang w:val="en-GB"/>
        </w:rPr>
        <w:t xml:space="preserve">also be an opportunity to have a greater degree of shared learning </w:t>
      </w:r>
      <w:r w:rsidR="000D40F1">
        <w:rPr>
          <w:lang w:val="en-GB"/>
        </w:rPr>
        <w:t xml:space="preserve">to </w:t>
      </w:r>
      <w:r w:rsidR="00DD4DD1">
        <w:rPr>
          <w:lang w:val="en-GB"/>
        </w:rPr>
        <w:t>avoid duplication</w:t>
      </w:r>
      <w:r w:rsidR="000D40F1">
        <w:rPr>
          <w:lang w:val="en-GB"/>
        </w:rPr>
        <w:t xml:space="preserve"> and unnecessary overlap</w:t>
      </w:r>
      <w:r w:rsidR="00DD4DD1">
        <w:rPr>
          <w:lang w:val="en-GB"/>
        </w:rPr>
        <w:t xml:space="preserve"> between modules.</w:t>
      </w:r>
      <w:r w:rsidR="00F4054A">
        <w:rPr>
          <w:lang w:val="en-GB"/>
        </w:rPr>
        <w:t xml:space="preserve"> This </w:t>
      </w:r>
      <w:r w:rsidR="000D40F1">
        <w:rPr>
          <w:lang w:val="en-GB"/>
        </w:rPr>
        <w:t xml:space="preserve">may </w:t>
      </w:r>
      <w:r w:rsidR="00F4054A">
        <w:rPr>
          <w:lang w:val="en-GB"/>
        </w:rPr>
        <w:t xml:space="preserve">be achieved through </w:t>
      </w:r>
      <w:r w:rsidR="000D40F1">
        <w:rPr>
          <w:lang w:val="en-GB"/>
        </w:rPr>
        <w:t>collective module</w:t>
      </w:r>
      <w:r w:rsidR="002C30CE">
        <w:rPr>
          <w:lang w:val="en-GB"/>
        </w:rPr>
        <w:t xml:space="preserve"> </w:t>
      </w:r>
      <w:r w:rsidR="000D40F1">
        <w:rPr>
          <w:lang w:val="en-GB"/>
        </w:rPr>
        <w:t>team</w:t>
      </w:r>
      <w:r w:rsidR="002C30CE">
        <w:rPr>
          <w:lang w:val="en-GB"/>
        </w:rPr>
        <w:t xml:space="preserve"> </w:t>
      </w:r>
      <w:r w:rsidR="000D40F1">
        <w:rPr>
          <w:lang w:val="en-GB"/>
        </w:rPr>
        <w:t xml:space="preserve">meetings </w:t>
      </w:r>
      <w:r w:rsidR="00F4054A">
        <w:rPr>
          <w:lang w:val="en-GB"/>
        </w:rPr>
        <w:t>between teaching staff and module leaders.</w:t>
      </w:r>
      <w:r w:rsidR="00DD4DD1">
        <w:rPr>
          <w:lang w:val="en-GB"/>
        </w:rPr>
        <w:t xml:space="preserve"> For instance, the topic of rehabilitation straddles the module on Survivorship and Addiction and Rehabilitation</w:t>
      </w:r>
      <w:r w:rsidR="00F4054A">
        <w:rPr>
          <w:lang w:val="en-GB"/>
        </w:rPr>
        <w:t xml:space="preserve"> and </w:t>
      </w:r>
      <w:r w:rsidR="00DD4DD1">
        <w:rPr>
          <w:lang w:val="en-GB"/>
        </w:rPr>
        <w:t xml:space="preserve">there is considerable cross-over between the topics of Global Health and </w:t>
      </w:r>
      <w:r w:rsidR="003F4164">
        <w:rPr>
          <w:lang w:val="en-GB"/>
        </w:rPr>
        <w:t xml:space="preserve">Public and </w:t>
      </w:r>
      <w:r w:rsidR="00DD4DD1">
        <w:rPr>
          <w:lang w:val="en-GB"/>
        </w:rPr>
        <w:t xml:space="preserve">Community Health. </w:t>
      </w:r>
      <w:r w:rsidR="00F4054A">
        <w:rPr>
          <w:lang w:val="en-GB"/>
        </w:rPr>
        <w:t>Regular communication</w:t>
      </w:r>
      <w:r w:rsidR="00390325">
        <w:rPr>
          <w:lang w:val="en-GB"/>
        </w:rPr>
        <w:t xml:space="preserve"> would also provide an opportunity to ensure that emerging topics in Health Psychology, such as healthcare worker stress, are included</w:t>
      </w:r>
      <w:r w:rsidR="00F4054A">
        <w:rPr>
          <w:lang w:val="en-GB"/>
        </w:rPr>
        <w:t xml:space="preserve"> as appropriate</w:t>
      </w:r>
      <w:r w:rsidR="00390325">
        <w:rPr>
          <w:lang w:val="en-GB"/>
        </w:rPr>
        <w:t>. The panel made the following recommendation.</w:t>
      </w:r>
    </w:p>
    <w:p w14:paraId="2FE6B259" w14:textId="1C610209" w:rsidR="004905F3" w:rsidRDefault="004905F3" w:rsidP="00F060AB">
      <w:pPr>
        <w:rPr>
          <w:rFonts w:eastAsia="Times New Roman" w:cstheme="minorHAnsi"/>
          <w:b/>
          <w:bCs/>
          <w:sz w:val="24"/>
          <w:szCs w:val="24"/>
        </w:rPr>
      </w:pPr>
      <w:r>
        <w:rPr>
          <w:rFonts w:eastAsia="Times New Roman" w:cstheme="minorHAnsi"/>
          <w:b/>
          <w:bCs/>
          <w:sz w:val="24"/>
          <w:szCs w:val="24"/>
        </w:rPr>
        <w:t>Recommendation</w:t>
      </w:r>
    </w:p>
    <w:p w14:paraId="4054DD2B" w14:textId="77777777" w:rsidR="004905F3" w:rsidRPr="004905F3" w:rsidRDefault="004905F3" w:rsidP="004905F3">
      <w:pPr>
        <w:rPr>
          <w:b/>
          <w:bCs/>
          <w:lang w:val="en-GB"/>
        </w:rPr>
      </w:pPr>
      <w:r w:rsidRPr="004905F3">
        <w:rPr>
          <w:b/>
          <w:bCs/>
          <w:lang w:val="en-GB"/>
        </w:rPr>
        <w:t>It is recommended that DBS ensure that there is effective communication between faculty to avoid duplication of content across modules; to identify opportunities for shared learning and the inclusion of new developments, e.g., healthcare worker stress.</w:t>
      </w:r>
    </w:p>
    <w:p w14:paraId="65CB877D" w14:textId="6C0FA981" w:rsidR="00F060AB" w:rsidRPr="004905F3" w:rsidRDefault="00BC1208" w:rsidP="00F060AB">
      <w:pPr>
        <w:rPr>
          <w:rFonts w:eastAsia="Times New Roman" w:cstheme="minorHAnsi"/>
          <w:b/>
          <w:bCs/>
          <w:sz w:val="24"/>
          <w:szCs w:val="24"/>
        </w:rPr>
      </w:pPr>
      <w:r w:rsidRPr="004905F3">
        <w:rPr>
          <w:rFonts w:eastAsia="Times New Roman" w:cstheme="minorHAnsi"/>
          <w:b/>
          <w:bCs/>
          <w:sz w:val="24"/>
          <w:szCs w:val="24"/>
        </w:rPr>
        <w:br w:type="page"/>
      </w:r>
    </w:p>
    <w:p w14:paraId="4C19ADBC" w14:textId="77777777" w:rsidR="00F060AB" w:rsidRPr="00BF7A5C" w:rsidRDefault="00BC1208" w:rsidP="0048373B">
      <w:pPr>
        <w:pStyle w:val="Criterion"/>
        <w:ind w:left="1134" w:hanging="1134"/>
      </w:pPr>
      <w:r w:rsidRPr="003546AE">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00F0204A" w14:textId="77777777" w:rsidTr="00302DC7">
        <w:tc>
          <w:tcPr>
            <w:tcW w:w="9021" w:type="dxa"/>
            <w:gridSpan w:val="3"/>
            <w:shd w:val="clear" w:color="auto" w:fill="D9E2F3" w:themeFill="accent1" w:themeFillTint="33"/>
          </w:tcPr>
          <w:p w14:paraId="102AF1A5" w14:textId="77777777" w:rsidR="00F060AB" w:rsidRPr="003546AE" w:rsidRDefault="00BC1208"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77777777" w:rsidR="00F060A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4"/>
            </w:r>
            <w:r w:rsidRPr="003546AE">
              <w:rPr>
                <w:rFonts w:eastAsia="Times New Roman" w:cstheme="minorHAnsi"/>
                <w:sz w:val="20"/>
                <w:szCs w:val="20"/>
              </w:rPr>
              <w:t xml:space="preserve"> (or potential staff) who are available, qualified and capable to provide the specified programme in the context of their existing commitments. </w:t>
            </w:r>
          </w:p>
          <w:p w14:paraId="3E47C159" w14:textId="77777777" w:rsidR="00F060A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77777777" w:rsidR="00F060A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5"/>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6"/>
            </w:r>
            <w:r w:rsidRPr="003546AE">
              <w:rPr>
                <w:rFonts w:eastAsia="Times New Roman" w:cstheme="minorHAnsi"/>
                <w:sz w:val="20"/>
                <w:szCs w:val="20"/>
              </w:rPr>
              <w:t>.</w:t>
            </w:r>
          </w:p>
          <w:p w14:paraId="362B5B6A" w14:textId="77777777" w:rsidR="00F060A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F060A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F060AB" w:rsidRPr="003546AE" w:rsidRDefault="00D35F8D" w:rsidP="00302DC7">
            <w:pPr>
              <w:ind w:left="720"/>
              <w:contextualSpacing/>
              <w:rPr>
                <w:rFonts w:eastAsia="Times New Roman" w:cstheme="minorHAnsi"/>
                <w:b/>
              </w:rPr>
            </w:pPr>
          </w:p>
        </w:tc>
      </w:tr>
      <w:tr w:rsidR="00F060AB" w:rsidRPr="003546AE" w14:paraId="0A20EDE4" w14:textId="77777777" w:rsidTr="00AC46AA">
        <w:tc>
          <w:tcPr>
            <w:tcW w:w="2528" w:type="dxa"/>
            <w:shd w:val="clear" w:color="auto" w:fill="D9E2F3" w:themeFill="accent1" w:themeFillTint="33"/>
          </w:tcPr>
          <w:p w14:paraId="17135981" w14:textId="69638E08"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5C5D5A31"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0459F537"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0126608" w14:textId="77777777" w:rsidTr="00AC46AA">
        <w:tc>
          <w:tcPr>
            <w:tcW w:w="2528" w:type="dxa"/>
            <w:shd w:val="clear" w:color="auto" w:fill="FFFFFF" w:themeFill="background1"/>
          </w:tcPr>
          <w:p w14:paraId="04371069" w14:textId="58D37411"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300" w:type="dxa"/>
            <w:shd w:val="clear" w:color="auto" w:fill="FFFFFF" w:themeFill="background1"/>
          </w:tcPr>
          <w:p w14:paraId="4F7D4384" w14:textId="1DC328B8" w:rsidR="00F060AB" w:rsidRPr="003546AE" w:rsidRDefault="00563BFE" w:rsidP="00302DC7">
            <w:pPr>
              <w:contextualSpacing/>
              <w:rPr>
                <w:rFonts w:eastAsia="Times New Roman" w:cstheme="minorHAnsi"/>
                <w:sz w:val="20"/>
                <w:szCs w:val="20"/>
              </w:rPr>
            </w:pPr>
            <w:r>
              <w:rPr>
                <w:rFonts w:eastAsia="Times New Roman" w:cstheme="minorHAnsi"/>
                <w:sz w:val="20"/>
                <w:szCs w:val="20"/>
              </w:rPr>
              <w:t>Partially</w:t>
            </w:r>
          </w:p>
        </w:tc>
        <w:tc>
          <w:tcPr>
            <w:tcW w:w="5193" w:type="dxa"/>
            <w:shd w:val="clear" w:color="auto" w:fill="FFFFFF" w:themeFill="background1"/>
          </w:tcPr>
          <w:p w14:paraId="68986681" w14:textId="5C4D4639" w:rsidR="00F060AB" w:rsidRDefault="00563BFE" w:rsidP="00302DC7">
            <w:pPr>
              <w:contextualSpacing/>
              <w:rPr>
                <w:rFonts w:eastAsia="Times New Roman" w:cstheme="minorHAnsi"/>
                <w:sz w:val="20"/>
                <w:szCs w:val="20"/>
              </w:rPr>
            </w:pPr>
            <w:r>
              <w:rPr>
                <w:rFonts w:eastAsia="Times New Roman" w:cstheme="minorHAnsi"/>
                <w:sz w:val="20"/>
                <w:szCs w:val="20"/>
              </w:rPr>
              <w:t>See conditions set in relation to this criterion below.</w:t>
            </w:r>
          </w:p>
          <w:p w14:paraId="7C519826" w14:textId="77777777" w:rsidR="00AC46AA" w:rsidRDefault="00D35F8D" w:rsidP="00302DC7">
            <w:pPr>
              <w:contextualSpacing/>
              <w:rPr>
                <w:rFonts w:eastAsia="Times New Roman" w:cstheme="minorHAnsi"/>
                <w:sz w:val="20"/>
                <w:szCs w:val="20"/>
              </w:rPr>
            </w:pPr>
          </w:p>
          <w:p w14:paraId="7A5AEB93" w14:textId="77777777" w:rsidR="00AC46AA" w:rsidRDefault="00D35F8D" w:rsidP="00302DC7">
            <w:pPr>
              <w:contextualSpacing/>
              <w:rPr>
                <w:rFonts w:eastAsia="Times New Roman" w:cstheme="minorHAnsi"/>
                <w:sz w:val="20"/>
                <w:szCs w:val="20"/>
              </w:rPr>
            </w:pPr>
          </w:p>
          <w:p w14:paraId="139401B6" w14:textId="6146F612" w:rsidR="00AC46AA" w:rsidRPr="003546AE" w:rsidRDefault="00D35F8D" w:rsidP="00302DC7">
            <w:pPr>
              <w:contextualSpacing/>
              <w:rPr>
                <w:rFonts w:eastAsia="Times New Roman" w:cstheme="minorHAnsi"/>
                <w:sz w:val="20"/>
                <w:szCs w:val="20"/>
              </w:rPr>
            </w:pPr>
          </w:p>
        </w:tc>
      </w:tr>
      <w:tr w:rsidR="00F060AB" w:rsidRPr="003546AE" w14:paraId="0B8D5632" w14:textId="77777777" w:rsidTr="00AC46AA">
        <w:tc>
          <w:tcPr>
            <w:tcW w:w="2528" w:type="dxa"/>
            <w:shd w:val="clear" w:color="auto" w:fill="FFFFFF" w:themeFill="background1"/>
          </w:tcPr>
          <w:p w14:paraId="6E39F7B1" w14:textId="0A5BFDFB"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300" w:type="dxa"/>
            <w:shd w:val="clear" w:color="auto" w:fill="FFFFFF" w:themeFill="background1"/>
          </w:tcPr>
          <w:p w14:paraId="40E03657" w14:textId="72A62389" w:rsidR="00F060AB" w:rsidRPr="003546AE" w:rsidRDefault="00563BFE" w:rsidP="00302DC7">
            <w:pPr>
              <w:contextualSpacing/>
              <w:rPr>
                <w:rFonts w:eastAsia="Times New Roman" w:cstheme="minorHAnsi"/>
                <w:sz w:val="20"/>
                <w:szCs w:val="20"/>
              </w:rPr>
            </w:pPr>
            <w:r>
              <w:rPr>
                <w:rFonts w:eastAsia="Times New Roman" w:cstheme="minorHAnsi"/>
                <w:sz w:val="20"/>
                <w:szCs w:val="20"/>
              </w:rPr>
              <w:t>Partially</w:t>
            </w:r>
          </w:p>
        </w:tc>
        <w:tc>
          <w:tcPr>
            <w:tcW w:w="5193" w:type="dxa"/>
            <w:shd w:val="clear" w:color="auto" w:fill="FFFFFF" w:themeFill="background1"/>
          </w:tcPr>
          <w:p w14:paraId="2E05CE70" w14:textId="06285E1C" w:rsidR="00F060AB" w:rsidRDefault="00563BFE" w:rsidP="00302DC7">
            <w:pPr>
              <w:contextualSpacing/>
              <w:rPr>
                <w:rFonts w:eastAsia="Times New Roman" w:cstheme="minorHAnsi"/>
                <w:sz w:val="20"/>
                <w:szCs w:val="20"/>
              </w:rPr>
            </w:pPr>
            <w:r>
              <w:rPr>
                <w:rFonts w:eastAsia="Times New Roman" w:cstheme="minorHAnsi"/>
                <w:sz w:val="20"/>
                <w:szCs w:val="20"/>
              </w:rPr>
              <w:t>See condition set in relation to this criterion below.</w:t>
            </w:r>
          </w:p>
          <w:p w14:paraId="7414F892" w14:textId="77777777" w:rsidR="00AC46AA" w:rsidRDefault="00D35F8D" w:rsidP="00302DC7">
            <w:pPr>
              <w:contextualSpacing/>
              <w:rPr>
                <w:rFonts w:eastAsia="Times New Roman" w:cstheme="minorHAnsi"/>
                <w:sz w:val="20"/>
                <w:szCs w:val="20"/>
              </w:rPr>
            </w:pPr>
          </w:p>
          <w:p w14:paraId="4C156CED" w14:textId="77777777" w:rsidR="00AC46AA" w:rsidRDefault="00D35F8D" w:rsidP="00302DC7">
            <w:pPr>
              <w:contextualSpacing/>
              <w:rPr>
                <w:rFonts w:eastAsia="Times New Roman" w:cstheme="minorHAnsi"/>
                <w:sz w:val="20"/>
                <w:szCs w:val="20"/>
              </w:rPr>
            </w:pPr>
          </w:p>
          <w:p w14:paraId="749176F4" w14:textId="6390FBB6" w:rsidR="00AC46AA" w:rsidRPr="003546AE" w:rsidRDefault="00D35F8D" w:rsidP="00302DC7">
            <w:pPr>
              <w:contextualSpacing/>
              <w:rPr>
                <w:rFonts w:eastAsia="Times New Roman" w:cstheme="minorHAnsi"/>
                <w:sz w:val="20"/>
                <w:szCs w:val="20"/>
              </w:rPr>
            </w:pPr>
          </w:p>
        </w:tc>
      </w:tr>
    </w:tbl>
    <w:p w14:paraId="500BEE69" w14:textId="34A03722" w:rsidR="00F060AB" w:rsidRDefault="00D35F8D" w:rsidP="00F060AB">
      <w:pPr>
        <w:rPr>
          <w:rFonts w:cstheme="minorHAnsi"/>
        </w:rPr>
      </w:pPr>
    </w:p>
    <w:p w14:paraId="016FF00B" w14:textId="6AB755D6" w:rsidR="002708CB" w:rsidRPr="003546AE" w:rsidRDefault="002708CB" w:rsidP="00F060AB">
      <w:pPr>
        <w:rPr>
          <w:rFonts w:cstheme="minorHAnsi"/>
        </w:rPr>
      </w:pPr>
      <w:r>
        <w:rPr>
          <w:rFonts w:cstheme="minorHAnsi"/>
        </w:rPr>
        <w:t>The panel has set two conditions in relation to this criterion which need to be addressed as indicated below.</w:t>
      </w:r>
    </w:p>
    <w:p w14:paraId="378C0565" w14:textId="612B2D5F" w:rsidR="005F323C" w:rsidRDefault="005F323C" w:rsidP="004905F3">
      <w:pPr>
        <w:rPr>
          <w:lang w:val="en-GB"/>
        </w:rPr>
      </w:pPr>
      <w:r>
        <w:rPr>
          <w:lang w:val="en-GB"/>
        </w:rPr>
        <w:t xml:space="preserve">The panel was informed that, at present, there is not a designated Course Leader/Director who is a registered/chartered Health Psychologist with either the PSI or the British Psychological Society (BPS). The panel </w:t>
      </w:r>
      <w:r w:rsidR="0090677A">
        <w:rPr>
          <w:lang w:val="en-GB"/>
        </w:rPr>
        <w:t>considered that this was a critical issue which would need to be addressed prior to the commencement of the course. It was noted in Criterion 3 above that it is DBS’s intention to ensure that graduates of the proposed programme will be eligible to apply for membership of the PSI’s Health Psychology division. It is the considered view of the panel that, unless a registered/chartered Health Psychologist is in place at the commencement of the programme, this could jeopardise the</w:t>
      </w:r>
      <w:r w:rsidR="00F4054A">
        <w:rPr>
          <w:lang w:val="en-GB"/>
        </w:rPr>
        <w:t xml:space="preserve"> prospect of</w:t>
      </w:r>
      <w:r w:rsidR="0090677A">
        <w:rPr>
          <w:lang w:val="en-GB"/>
        </w:rPr>
        <w:t xml:space="preserve"> graduates’ registration</w:t>
      </w:r>
      <w:r w:rsidR="00F4054A">
        <w:rPr>
          <w:lang w:val="en-GB"/>
        </w:rPr>
        <w:t xml:space="preserve"> </w:t>
      </w:r>
      <w:r w:rsidR="00D037A8">
        <w:rPr>
          <w:lang w:val="en-GB"/>
        </w:rPr>
        <w:t>as the</w:t>
      </w:r>
      <w:r w:rsidR="00F4054A">
        <w:rPr>
          <w:lang w:val="en-GB"/>
        </w:rPr>
        <w:t xml:space="preserve"> programme would not have met one of PSI’s requirements.</w:t>
      </w:r>
    </w:p>
    <w:p w14:paraId="6E79B92E" w14:textId="293F312D" w:rsidR="00A01391" w:rsidRDefault="00A01391" w:rsidP="004905F3">
      <w:pPr>
        <w:rPr>
          <w:lang w:val="en-GB"/>
        </w:rPr>
      </w:pPr>
      <w:r>
        <w:rPr>
          <w:lang w:val="en-GB"/>
        </w:rPr>
        <w:t>The panel also considered that it</w:t>
      </w:r>
      <w:r w:rsidR="00AD2745">
        <w:rPr>
          <w:lang w:val="en-GB"/>
        </w:rPr>
        <w:t xml:space="preserve"> </w:t>
      </w:r>
      <w:r w:rsidR="00F4054A">
        <w:rPr>
          <w:lang w:val="en-GB"/>
        </w:rPr>
        <w:t>is</w:t>
      </w:r>
      <w:r>
        <w:rPr>
          <w:lang w:val="en-GB"/>
        </w:rPr>
        <w:t xml:space="preserve"> best practice that a Health Psychologist</w:t>
      </w:r>
      <w:r w:rsidR="004C43CC">
        <w:rPr>
          <w:lang w:val="en-GB"/>
        </w:rPr>
        <w:t xml:space="preserve"> </w:t>
      </w:r>
      <w:r>
        <w:rPr>
          <w:lang w:val="en-GB"/>
        </w:rPr>
        <w:t>le</w:t>
      </w:r>
      <w:r w:rsidR="004C43CC">
        <w:rPr>
          <w:lang w:val="en-GB"/>
        </w:rPr>
        <w:t>a</w:t>
      </w:r>
      <w:r>
        <w:rPr>
          <w:lang w:val="en-GB"/>
        </w:rPr>
        <w:t>d the ongoing development of the programme, since</w:t>
      </w:r>
      <w:r w:rsidR="004C43CC">
        <w:rPr>
          <w:lang w:val="en-GB"/>
        </w:rPr>
        <w:t xml:space="preserve"> this area of psychology was the sole focus of the proposed programme.</w:t>
      </w:r>
    </w:p>
    <w:p w14:paraId="153921E3" w14:textId="09A7F2E6" w:rsidR="00CF2C71" w:rsidRPr="005F323C" w:rsidRDefault="00CF2C71" w:rsidP="004905F3">
      <w:pPr>
        <w:rPr>
          <w:lang w:val="en-GB"/>
        </w:rPr>
      </w:pPr>
      <w:r>
        <w:rPr>
          <w:lang w:val="en-GB"/>
        </w:rPr>
        <w:t>The panel set the following condition:</w:t>
      </w:r>
    </w:p>
    <w:p w14:paraId="641D7A2B" w14:textId="11B7D6E6" w:rsidR="004905F3" w:rsidRPr="005432C9" w:rsidRDefault="004905F3" w:rsidP="004905F3">
      <w:pPr>
        <w:rPr>
          <w:b/>
          <w:bCs/>
          <w:lang w:val="en-GB"/>
        </w:rPr>
      </w:pPr>
      <w:r w:rsidRPr="005432C9">
        <w:rPr>
          <w:b/>
          <w:bCs/>
          <w:lang w:val="en-GB"/>
        </w:rPr>
        <w:t>Condition</w:t>
      </w:r>
    </w:p>
    <w:p w14:paraId="59E4A0AE" w14:textId="261E27A9" w:rsidR="004905F3" w:rsidRDefault="004905F3" w:rsidP="004905F3">
      <w:pPr>
        <w:rPr>
          <w:b/>
          <w:bCs/>
          <w:lang w:val="en-GB"/>
        </w:rPr>
      </w:pPr>
      <w:r w:rsidRPr="004905F3">
        <w:rPr>
          <w:b/>
          <w:bCs/>
          <w:lang w:val="en-GB"/>
        </w:rPr>
        <w:t>It is a condition that, prior to the commencement of this programme</w:t>
      </w:r>
      <w:r w:rsidR="003F4164">
        <w:rPr>
          <w:b/>
          <w:bCs/>
          <w:lang w:val="en-GB"/>
        </w:rPr>
        <w:t xml:space="preserve">, </w:t>
      </w:r>
      <w:r w:rsidRPr="004905F3">
        <w:rPr>
          <w:b/>
          <w:bCs/>
          <w:lang w:val="en-GB"/>
        </w:rPr>
        <w:t>the Course Leader/Director must be a registered/chartered Health Psychologist.</w:t>
      </w:r>
    </w:p>
    <w:p w14:paraId="7EB94BE6" w14:textId="44E2C86D" w:rsidR="00CF2C71" w:rsidRPr="00CF2C71" w:rsidRDefault="00CF2C71" w:rsidP="004905F3">
      <w:pPr>
        <w:rPr>
          <w:lang w:val="en-GB"/>
        </w:rPr>
      </w:pPr>
      <w:r>
        <w:rPr>
          <w:lang w:val="en-GB"/>
        </w:rPr>
        <w:t>In discussion with the programme team, it was stated that</w:t>
      </w:r>
      <w:r w:rsidR="0084046E">
        <w:rPr>
          <w:lang w:val="en-GB"/>
        </w:rPr>
        <w:t>, as far as possible,</w:t>
      </w:r>
      <w:r>
        <w:rPr>
          <w:lang w:val="en-GB"/>
        </w:rPr>
        <w:t xml:space="preserve"> DBS</w:t>
      </w:r>
      <w:r w:rsidR="0084046E">
        <w:rPr>
          <w:lang w:val="en-GB"/>
        </w:rPr>
        <w:t xml:space="preserve"> ensures that learners have a supervisor</w:t>
      </w:r>
      <w:r w:rsidR="00FE6886">
        <w:rPr>
          <w:lang w:val="en-GB"/>
        </w:rPr>
        <w:t xml:space="preserve"> with expertise</w:t>
      </w:r>
      <w:r w:rsidR="0084046E">
        <w:rPr>
          <w:lang w:val="en-GB"/>
        </w:rPr>
        <w:t xml:space="preserve"> that matches their area of research interest</w:t>
      </w:r>
      <w:r w:rsidR="00FE6886">
        <w:rPr>
          <w:lang w:val="en-GB"/>
        </w:rPr>
        <w:t xml:space="preserve"> </w:t>
      </w:r>
      <w:r w:rsidR="00A01391">
        <w:rPr>
          <w:lang w:val="en-GB"/>
        </w:rPr>
        <w:t>when undertaking their Capstone Project</w:t>
      </w:r>
      <w:r w:rsidR="0084046E">
        <w:rPr>
          <w:lang w:val="en-GB"/>
        </w:rPr>
        <w:t>. It was stated that, generally, every such supervisor has a qualification to Master’s level</w:t>
      </w:r>
      <w:r w:rsidR="00A01391">
        <w:rPr>
          <w:lang w:val="en-GB"/>
        </w:rPr>
        <w:t>, but that this was not always the case. The panel is not satisfied with this situation and is of the view that all project supervisors must have at last a Master’s degree</w:t>
      </w:r>
      <w:r w:rsidR="002C30CE">
        <w:rPr>
          <w:lang w:val="en-GB"/>
        </w:rPr>
        <w:t>.</w:t>
      </w:r>
      <w:r w:rsidR="00FE6886">
        <w:rPr>
          <w:lang w:val="en-GB"/>
        </w:rPr>
        <w:t xml:space="preserve"> </w:t>
      </w:r>
      <w:r w:rsidR="00A01391">
        <w:rPr>
          <w:lang w:val="en-GB"/>
        </w:rPr>
        <w:t>The panel set the following condition:</w:t>
      </w:r>
    </w:p>
    <w:p w14:paraId="35CAE89D" w14:textId="20374C30" w:rsidR="005F323C" w:rsidRPr="004905F3" w:rsidRDefault="005F323C" w:rsidP="004905F3">
      <w:pPr>
        <w:rPr>
          <w:b/>
          <w:bCs/>
          <w:lang w:val="en-GB"/>
        </w:rPr>
      </w:pPr>
      <w:r>
        <w:rPr>
          <w:b/>
          <w:bCs/>
          <w:lang w:val="en-GB"/>
        </w:rPr>
        <w:t>Condition</w:t>
      </w:r>
    </w:p>
    <w:p w14:paraId="32F523FB" w14:textId="0C2D56BF" w:rsidR="004905F3" w:rsidRDefault="004905F3" w:rsidP="004905F3">
      <w:pPr>
        <w:rPr>
          <w:b/>
          <w:bCs/>
          <w:lang w:val="en-GB"/>
        </w:rPr>
      </w:pPr>
      <w:r w:rsidRPr="004905F3">
        <w:rPr>
          <w:b/>
          <w:bCs/>
          <w:lang w:val="en-GB"/>
        </w:rPr>
        <w:t>It is a condition that research project supervisors have a minimum qualification at Master’s level.</w:t>
      </w:r>
    </w:p>
    <w:p w14:paraId="25421553" w14:textId="71661D74" w:rsidR="00A01391" w:rsidRDefault="00A01391" w:rsidP="00A01391">
      <w:pPr>
        <w:rPr>
          <w:lang w:val="en-GB"/>
        </w:rPr>
      </w:pPr>
      <w:r>
        <w:rPr>
          <w:lang w:val="en-GB"/>
        </w:rPr>
        <w:t xml:space="preserve">It was noted that DBS stated there are currently faculty members who </w:t>
      </w:r>
      <w:r w:rsidR="00FE6886">
        <w:rPr>
          <w:lang w:val="en-GB"/>
        </w:rPr>
        <w:t xml:space="preserve">may be eligible to </w:t>
      </w:r>
      <w:r>
        <w:rPr>
          <w:lang w:val="en-GB"/>
        </w:rPr>
        <w:t>apply for registration with PSI</w:t>
      </w:r>
      <w:r w:rsidR="00FE6886">
        <w:rPr>
          <w:lang w:val="en-GB"/>
        </w:rPr>
        <w:t xml:space="preserve"> or</w:t>
      </w:r>
      <w:r w:rsidR="00666501">
        <w:rPr>
          <w:lang w:val="en-GB"/>
        </w:rPr>
        <w:t xml:space="preserve"> </w:t>
      </w:r>
      <w:r>
        <w:rPr>
          <w:lang w:val="en-GB"/>
        </w:rPr>
        <w:t xml:space="preserve">BPS as </w:t>
      </w:r>
      <w:r w:rsidR="00FE6886">
        <w:rPr>
          <w:lang w:val="en-GB"/>
        </w:rPr>
        <w:t xml:space="preserve">chartered/registered </w:t>
      </w:r>
      <w:r>
        <w:rPr>
          <w:lang w:val="en-GB"/>
        </w:rPr>
        <w:t>Health Psychologist</w:t>
      </w:r>
      <w:r w:rsidR="00FE6886">
        <w:rPr>
          <w:lang w:val="en-GB"/>
        </w:rPr>
        <w:t>s</w:t>
      </w:r>
      <w:r>
        <w:rPr>
          <w:lang w:val="en-GB"/>
        </w:rPr>
        <w:t xml:space="preserve"> </w:t>
      </w:r>
      <w:r w:rsidR="00FE6886">
        <w:rPr>
          <w:lang w:val="en-GB"/>
        </w:rPr>
        <w:t>given</w:t>
      </w:r>
      <w:r w:rsidR="002C30CE">
        <w:rPr>
          <w:lang w:val="en-GB"/>
        </w:rPr>
        <w:t xml:space="preserve"> that</w:t>
      </w:r>
      <w:r>
        <w:rPr>
          <w:lang w:val="en-GB"/>
        </w:rPr>
        <w:t xml:space="preserve"> many faculty members</w:t>
      </w:r>
      <w:r w:rsidR="005549E0">
        <w:rPr>
          <w:lang w:val="en-GB"/>
        </w:rPr>
        <w:t xml:space="preserve"> already</w:t>
      </w:r>
      <w:r>
        <w:rPr>
          <w:lang w:val="en-GB"/>
        </w:rPr>
        <w:t xml:space="preserve"> ha</w:t>
      </w:r>
      <w:r w:rsidR="000B19A6">
        <w:rPr>
          <w:lang w:val="en-GB"/>
        </w:rPr>
        <w:t>ve</w:t>
      </w:r>
      <w:r>
        <w:rPr>
          <w:lang w:val="en-GB"/>
        </w:rPr>
        <w:t xml:space="preserve"> experience in teaching</w:t>
      </w:r>
      <w:r w:rsidR="00795A6E">
        <w:rPr>
          <w:lang w:val="en-GB"/>
        </w:rPr>
        <w:t xml:space="preserve"> and researching</w:t>
      </w:r>
      <w:r>
        <w:rPr>
          <w:lang w:val="en-GB"/>
        </w:rPr>
        <w:t xml:space="preserve"> the topic. </w:t>
      </w:r>
      <w:r w:rsidR="004C43CC">
        <w:rPr>
          <w:lang w:val="en-GB"/>
        </w:rPr>
        <w:t xml:space="preserve"> It was stated that this is an area that DBS intend to focus on through its discipline-related CPD initiatives for staff in the coming years. The panel recommended</w:t>
      </w:r>
      <w:r w:rsidR="000B19A6">
        <w:rPr>
          <w:lang w:val="en-GB"/>
        </w:rPr>
        <w:t xml:space="preserve"> that a process</w:t>
      </w:r>
      <w:r w:rsidR="004C43CC">
        <w:rPr>
          <w:lang w:val="en-GB"/>
        </w:rPr>
        <w:t xml:space="preserve"> </w:t>
      </w:r>
      <w:r w:rsidR="00795A6E">
        <w:rPr>
          <w:lang w:val="en-GB"/>
        </w:rPr>
        <w:t>for</w:t>
      </w:r>
      <w:r w:rsidR="00A7036E">
        <w:rPr>
          <w:lang w:val="en-GB"/>
        </w:rPr>
        <w:t xml:space="preserve"> eligible staff </w:t>
      </w:r>
      <w:r w:rsidR="00795A6E">
        <w:rPr>
          <w:lang w:val="en-GB"/>
        </w:rPr>
        <w:t xml:space="preserve">to </w:t>
      </w:r>
      <w:r w:rsidR="00A7036E">
        <w:rPr>
          <w:lang w:val="en-GB"/>
        </w:rPr>
        <w:t>apply for accreditation as Health Psychologists</w:t>
      </w:r>
      <w:r w:rsidR="00795A6E">
        <w:rPr>
          <w:lang w:val="en-GB"/>
        </w:rPr>
        <w:t xml:space="preserve"> be prioritised in the imminent future</w:t>
      </w:r>
      <w:r w:rsidR="00A7036E">
        <w:rPr>
          <w:lang w:val="en-GB"/>
        </w:rPr>
        <w:t>.</w:t>
      </w:r>
    </w:p>
    <w:p w14:paraId="017215D3" w14:textId="4656D4C5" w:rsidR="004905F3" w:rsidRDefault="004905F3" w:rsidP="004905F3">
      <w:pPr>
        <w:rPr>
          <w:rFonts w:eastAsia="Times New Roman" w:cstheme="minorHAnsi"/>
          <w:b/>
          <w:bCs/>
          <w:sz w:val="24"/>
          <w:szCs w:val="24"/>
        </w:rPr>
      </w:pPr>
      <w:r>
        <w:rPr>
          <w:rFonts w:eastAsia="Times New Roman" w:cstheme="minorHAnsi"/>
          <w:b/>
          <w:bCs/>
          <w:sz w:val="24"/>
          <w:szCs w:val="24"/>
        </w:rPr>
        <w:t>Recommendation</w:t>
      </w:r>
    </w:p>
    <w:p w14:paraId="10BBF7A1" w14:textId="619DE15B" w:rsidR="004905F3" w:rsidRDefault="004905F3" w:rsidP="004905F3">
      <w:pPr>
        <w:rPr>
          <w:b/>
          <w:bCs/>
          <w:lang w:val="en-GB"/>
        </w:rPr>
      </w:pPr>
      <w:r w:rsidRPr="004905F3">
        <w:rPr>
          <w:b/>
          <w:bCs/>
          <w:lang w:val="en-GB"/>
        </w:rPr>
        <w:t xml:space="preserve">It is recommended that DBS consider a formal strategy for professional </w:t>
      </w:r>
      <w:r w:rsidR="003F4164">
        <w:rPr>
          <w:b/>
          <w:bCs/>
          <w:lang w:val="en-GB"/>
        </w:rPr>
        <w:t>H</w:t>
      </w:r>
      <w:r w:rsidRPr="004905F3">
        <w:rPr>
          <w:b/>
          <w:bCs/>
          <w:lang w:val="en-GB"/>
        </w:rPr>
        <w:t xml:space="preserve">ealth </w:t>
      </w:r>
      <w:r w:rsidR="003F4164">
        <w:rPr>
          <w:b/>
          <w:bCs/>
          <w:lang w:val="en-GB"/>
        </w:rPr>
        <w:t>P</w:t>
      </w:r>
      <w:r w:rsidRPr="004905F3">
        <w:rPr>
          <w:b/>
          <w:bCs/>
          <w:lang w:val="en-GB"/>
        </w:rPr>
        <w:t xml:space="preserve">sychology accreditation </w:t>
      </w:r>
      <w:r w:rsidR="001111A2">
        <w:rPr>
          <w:b/>
          <w:bCs/>
          <w:lang w:val="en-GB"/>
        </w:rPr>
        <w:t>to enhance</w:t>
      </w:r>
      <w:r w:rsidRPr="004905F3">
        <w:rPr>
          <w:b/>
          <w:bCs/>
          <w:lang w:val="en-GB"/>
        </w:rPr>
        <w:t xml:space="preserve"> the programme and staff development.</w:t>
      </w:r>
    </w:p>
    <w:p w14:paraId="09144608" w14:textId="3C8CFB12" w:rsidR="006D522B" w:rsidRDefault="006D522B" w:rsidP="006D522B">
      <w:r>
        <w:t xml:space="preserve">The panel was informed that DBS is transitioning to be an institution with more of a focus on applied research.  A Practice Research Coordinator had been appointed to support this strategy for the college as a whole.  </w:t>
      </w:r>
      <w:r w:rsidR="005549E0">
        <w:t xml:space="preserve">A </w:t>
      </w:r>
      <w:r>
        <w:t>full Research Strategy was due to be published in 2023.</w:t>
      </w:r>
    </w:p>
    <w:p w14:paraId="69CF5A13" w14:textId="4953090D" w:rsidR="006D522B" w:rsidRDefault="006D522B" w:rsidP="006D522B">
      <w:r>
        <w:t xml:space="preserve">It was stated that research support </w:t>
      </w:r>
      <w:r w:rsidR="005549E0">
        <w:t>is</w:t>
      </w:r>
      <w:r>
        <w:t xml:space="preserve"> available to faculty in the human and social sciences section of DBS and many were active in research and publication. As a private institution, DBS has less access to funds than publicly funded colleges. Nevertheless, DBS was looking at other avenues, including collaborating with other institutions</w:t>
      </w:r>
      <w:r w:rsidR="00795A6E">
        <w:t xml:space="preserve"> and industry</w:t>
      </w:r>
      <w:r w:rsidR="001111A2">
        <w:t>,</w:t>
      </w:r>
      <w:r>
        <w:t xml:space="preserve"> as a way to support research opportunities for </w:t>
      </w:r>
      <w:r w:rsidR="00795A6E">
        <w:t>academics</w:t>
      </w:r>
      <w:r>
        <w:t>. The panel welcomes this development.</w:t>
      </w:r>
    </w:p>
    <w:p w14:paraId="74C6119A" w14:textId="210168E4" w:rsidR="00F060AB" w:rsidRDefault="00D35F8D" w:rsidP="00F060AB">
      <w:pPr>
        <w:rPr>
          <w:b/>
          <w:bCs/>
          <w:lang w:val="en-GB"/>
        </w:rPr>
      </w:pPr>
    </w:p>
    <w:p w14:paraId="4E21B849" w14:textId="77777777" w:rsidR="005549E0" w:rsidRPr="004905F3" w:rsidRDefault="005549E0" w:rsidP="00F060AB">
      <w:pPr>
        <w:rPr>
          <w:rFonts w:eastAsia="Times New Roman" w:cstheme="minorHAnsi"/>
          <w:b/>
          <w:bCs/>
          <w:sz w:val="24"/>
          <w:szCs w:val="24"/>
        </w:rPr>
      </w:pPr>
    </w:p>
    <w:p w14:paraId="6D9E2A84" w14:textId="77777777" w:rsidR="00F060AB" w:rsidRPr="003546AE" w:rsidRDefault="00BC1208" w:rsidP="0048373B">
      <w:pPr>
        <w:pStyle w:val="Criterion"/>
        <w:ind w:left="1134" w:hanging="1134"/>
      </w:pPr>
      <w:r w:rsidRPr="003546AE">
        <w:t>There are sufficient physical resources to implement the programme as planned</w:t>
      </w:r>
    </w:p>
    <w:tbl>
      <w:tblPr>
        <w:tblStyle w:val="TableGrid"/>
        <w:tblW w:w="0" w:type="auto"/>
        <w:tblInd w:w="-5" w:type="dxa"/>
        <w:tblLook w:val="04A0" w:firstRow="1" w:lastRow="0" w:firstColumn="1" w:lastColumn="0" w:noHBand="0" w:noVBand="1"/>
      </w:tblPr>
      <w:tblGrid>
        <w:gridCol w:w="2410"/>
        <w:gridCol w:w="1418"/>
        <w:gridCol w:w="5193"/>
      </w:tblGrid>
      <w:tr w:rsidR="00F060AB" w:rsidRPr="003546AE" w14:paraId="17AD92DB" w14:textId="77777777" w:rsidTr="00302DC7">
        <w:tc>
          <w:tcPr>
            <w:tcW w:w="9021" w:type="dxa"/>
            <w:gridSpan w:val="3"/>
            <w:shd w:val="clear" w:color="auto" w:fill="D9E2F3" w:themeFill="accent1" w:themeFillTint="33"/>
          </w:tcPr>
          <w:p w14:paraId="67D2079B" w14:textId="77777777" w:rsidR="00F060AB"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7F7AB6AC" w14:textId="77777777" w:rsidR="00F060AB"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21BEDDDF" w14:textId="77777777"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32527161" w14:textId="77777777"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58F20FE9"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w:t>
            </w:r>
            <w:r w:rsidR="003B1AB7" w:rsidRPr="003546AE">
              <w:rPr>
                <w:rFonts w:eastAsia="Times New Roman" w:cstheme="minorHAnsi"/>
                <w:sz w:val="20"/>
                <w:szCs w:val="20"/>
              </w:rPr>
              <w:t>e.g.,</w:t>
            </w:r>
            <w:r w:rsidRPr="003546AE">
              <w:rPr>
                <w:rFonts w:eastAsia="Times New Roman" w:cstheme="minorHAnsi"/>
                <w:sz w:val="20"/>
                <w:szCs w:val="20"/>
              </w:rPr>
              <w:t xml:space="preserve"> kitchen, laboratory, workshop, studio) – if applicable</w:t>
            </w:r>
          </w:p>
          <w:p w14:paraId="0E0343CF" w14:textId="77777777"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F060A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F060AB" w:rsidRPr="003546AE" w:rsidRDefault="00BC1208"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F060AB"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F060AB" w:rsidRPr="003546AE" w:rsidRDefault="00BC1208"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F060AB" w:rsidRPr="003546AE" w:rsidRDefault="00BC1208"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F060AB" w:rsidRPr="003546AE" w:rsidRDefault="00BC1208"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The programme includes controls to ensure entitlement to use the property (including intellectual property, premises, materials and equipment) required.</w:t>
            </w:r>
          </w:p>
          <w:p w14:paraId="61C32D4B" w14:textId="77777777" w:rsidR="00F060AB" w:rsidRPr="003546AE" w:rsidRDefault="00D35F8D" w:rsidP="00302DC7">
            <w:pPr>
              <w:contextualSpacing/>
              <w:rPr>
                <w:rFonts w:eastAsia="Times New Roman" w:cstheme="minorHAnsi"/>
                <w:b/>
              </w:rPr>
            </w:pPr>
          </w:p>
        </w:tc>
      </w:tr>
      <w:tr w:rsidR="00F060AB" w:rsidRPr="003546AE" w14:paraId="5E4EE5BE" w14:textId="77777777" w:rsidTr="00AC46AA">
        <w:tc>
          <w:tcPr>
            <w:tcW w:w="2410" w:type="dxa"/>
            <w:shd w:val="clear" w:color="auto" w:fill="D9E2F3" w:themeFill="accent1" w:themeFillTint="33"/>
          </w:tcPr>
          <w:p w14:paraId="78E791A7" w14:textId="2B4CB10F"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8" w:type="dxa"/>
            <w:shd w:val="clear" w:color="auto" w:fill="D9E2F3" w:themeFill="accent1" w:themeFillTint="33"/>
          </w:tcPr>
          <w:p w14:paraId="66CBB96A"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3094FA31"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9447C29" w14:textId="77777777" w:rsidTr="00AC46AA">
        <w:tc>
          <w:tcPr>
            <w:tcW w:w="2410" w:type="dxa"/>
            <w:shd w:val="clear" w:color="auto" w:fill="FFFFFF" w:themeFill="background1"/>
          </w:tcPr>
          <w:p w14:paraId="432B7244" w14:textId="6C0840CC"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418" w:type="dxa"/>
            <w:shd w:val="clear" w:color="auto" w:fill="FFFFFF" w:themeFill="background1"/>
          </w:tcPr>
          <w:p w14:paraId="74CB6CE6" w14:textId="1824376A"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4DAAE080" w14:textId="77777777" w:rsidR="00F060AB" w:rsidRDefault="00D35F8D" w:rsidP="00302DC7">
            <w:pPr>
              <w:contextualSpacing/>
              <w:rPr>
                <w:rFonts w:eastAsia="Times New Roman" w:cstheme="minorHAnsi"/>
                <w:sz w:val="20"/>
                <w:szCs w:val="20"/>
              </w:rPr>
            </w:pPr>
          </w:p>
          <w:p w14:paraId="7CF1BB2F" w14:textId="77777777" w:rsidR="00AC46AA" w:rsidRDefault="00D35F8D" w:rsidP="00302DC7">
            <w:pPr>
              <w:contextualSpacing/>
              <w:rPr>
                <w:rFonts w:eastAsia="Times New Roman" w:cstheme="minorHAnsi"/>
                <w:sz w:val="20"/>
                <w:szCs w:val="20"/>
              </w:rPr>
            </w:pPr>
          </w:p>
          <w:p w14:paraId="7F105C3A" w14:textId="77777777" w:rsidR="00AC46AA" w:rsidRDefault="00D35F8D" w:rsidP="00302DC7">
            <w:pPr>
              <w:contextualSpacing/>
              <w:rPr>
                <w:rFonts w:eastAsia="Times New Roman" w:cstheme="minorHAnsi"/>
                <w:sz w:val="20"/>
                <w:szCs w:val="20"/>
              </w:rPr>
            </w:pPr>
          </w:p>
          <w:p w14:paraId="3B1D975C" w14:textId="60A6EE49" w:rsidR="00AC46AA" w:rsidRPr="003546AE" w:rsidRDefault="00D35F8D" w:rsidP="00302DC7">
            <w:pPr>
              <w:contextualSpacing/>
              <w:rPr>
                <w:rFonts w:eastAsia="Times New Roman" w:cstheme="minorHAnsi"/>
                <w:sz w:val="20"/>
                <w:szCs w:val="20"/>
              </w:rPr>
            </w:pPr>
          </w:p>
        </w:tc>
      </w:tr>
      <w:tr w:rsidR="00F060AB" w:rsidRPr="003546AE" w14:paraId="5E715C0E" w14:textId="77777777" w:rsidTr="00AC46AA">
        <w:tc>
          <w:tcPr>
            <w:tcW w:w="2410" w:type="dxa"/>
            <w:shd w:val="clear" w:color="auto" w:fill="FFFFFF" w:themeFill="background1"/>
          </w:tcPr>
          <w:p w14:paraId="111C91B2" w14:textId="63FD495D"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418" w:type="dxa"/>
            <w:shd w:val="clear" w:color="auto" w:fill="FFFFFF" w:themeFill="background1"/>
          </w:tcPr>
          <w:p w14:paraId="100E04FA" w14:textId="5AFE4E2B"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2810E096" w14:textId="77777777" w:rsidR="00F060AB" w:rsidRDefault="00D35F8D" w:rsidP="00302DC7">
            <w:pPr>
              <w:contextualSpacing/>
              <w:rPr>
                <w:rFonts w:eastAsia="Times New Roman" w:cstheme="minorHAnsi"/>
                <w:sz w:val="20"/>
                <w:szCs w:val="20"/>
              </w:rPr>
            </w:pPr>
          </w:p>
          <w:p w14:paraId="3E43A6DB" w14:textId="77777777" w:rsidR="00AC46AA" w:rsidRDefault="00D35F8D" w:rsidP="00302DC7">
            <w:pPr>
              <w:contextualSpacing/>
              <w:rPr>
                <w:rFonts w:eastAsia="Times New Roman" w:cstheme="minorHAnsi"/>
                <w:sz w:val="20"/>
                <w:szCs w:val="20"/>
              </w:rPr>
            </w:pPr>
          </w:p>
          <w:p w14:paraId="6FE8F96C" w14:textId="77777777" w:rsidR="00AC46AA" w:rsidRDefault="00D35F8D" w:rsidP="00302DC7">
            <w:pPr>
              <w:contextualSpacing/>
              <w:rPr>
                <w:rFonts w:eastAsia="Times New Roman" w:cstheme="minorHAnsi"/>
                <w:sz w:val="20"/>
                <w:szCs w:val="20"/>
              </w:rPr>
            </w:pPr>
          </w:p>
          <w:p w14:paraId="04E19DDA" w14:textId="4464F3C7" w:rsidR="00AC46AA" w:rsidRPr="003546AE" w:rsidRDefault="00D35F8D" w:rsidP="00302DC7">
            <w:pPr>
              <w:contextualSpacing/>
              <w:rPr>
                <w:rFonts w:eastAsia="Times New Roman" w:cstheme="minorHAnsi"/>
                <w:sz w:val="20"/>
                <w:szCs w:val="20"/>
              </w:rPr>
            </w:pPr>
          </w:p>
        </w:tc>
      </w:tr>
    </w:tbl>
    <w:p w14:paraId="6FED9019" w14:textId="77777777" w:rsidR="00F060AB" w:rsidRPr="003546AE" w:rsidRDefault="00D35F8D" w:rsidP="00F060AB">
      <w:pPr>
        <w:rPr>
          <w:rFonts w:cstheme="minorHAnsi"/>
        </w:rPr>
      </w:pPr>
    </w:p>
    <w:p w14:paraId="0600BAB5" w14:textId="77777777" w:rsidR="009E31D4" w:rsidRDefault="009E31D4" w:rsidP="00E96478">
      <w:r>
        <w:t>This criterion has been satisfactorily met.</w:t>
      </w:r>
    </w:p>
    <w:p w14:paraId="237728FE" w14:textId="36205D7C" w:rsidR="00E96478" w:rsidRDefault="00E96478" w:rsidP="00E96478">
      <w:r>
        <w:t>The panel was informed that</w:t>
      </w:r>
      <w:r w:rsidR="001111A2">
        <w:t xml:space="preserve"> DBS </w:t>
      </w:r>
      <w:r>
        <w:t>had sufficient resources in place to undertake the proposed programme. Facilities available include 12 laboratories, 400 mobile labs and sufficient licences for Zoom to provide online delivery as appropriate.  The panel was informed that there is a laboratory technician on hand to support learners to use the equipment and available software effectively when conducting their own research; this includes how to conduct interviews online as necessary to meet</w:t>
      </w:r>
      <w:r w:rsidR="005549E0">
        <w:t xml:space="preserve"> any</w:t>
      </w:r>
      <w:r>
        <w:t xml:space="preserve"> public health guidelines. </w:t>
      </w:r>
    </w:p>
    <w:p w14:paraId="2D6C5724" w14:textId="77777777" w:rsidR="00E96478" w:rsidRDefault="00E96478" w:rsidP="00E96478">
      <w:r>
        <w:t>The panel was also informed that DBS has in place a dedicated AV studio which produces on-demand, asynchronous material for learners. Training has been provided to lectures and tutors to become more skilled in these delivery methods, with assistance provided by specialist script writers   and designers to assist them.</w:t>
      </w:r>
    </w:p>
    <w:p w14:paraId="418BAF96" w14:textId="22544CC6" w:rsidR="00E96478" w:rsidRDefault="00E96478" w:rsidP="00E96478">
      <w:r>
        <w:t xml:space="preserve">The library has sufficient online resources, including two data bases which make up to 25,000 psychology-related academic articles available to learners. </w:t>
      </w:r>
      <w:r w:rsidR="00217A8C">
        <w:t>The panel indicated that,</w:t>
      </w:r>
      <w:r>
        <w:t xml:space="preserve"> as the proposed programme had a specific focus on Health Psychology</w:t>
      </w:r>
      <w:r w:rsidR="00217A8C">
        <w:t>,</w:t>
      </w:r>
      <w:r>
        <w:t xml:space="preserve"> it would be important to ensure that </w:t>
      </w:r>
      <w:r w:rsidR="00217A8C">
        <w:t>core journals on the topic were in place from the beginning. The panel stressed the importance of ensuring that all reading lists were regularly reviewed to ensure they reflected contemporary research.</w:t>
      </w:r>
    </w:p>
    <w:p w14:paraId="0EEC8944" w14:textId="3F1B2A7F" w:rsidR="00BF3453" w:rsidRPr="00BF3453" w:rsidRDefault="00BF3453" w:rsidP="00BF3453">
      <w:pPr>
        <w:rPr>
          <w:b/>
          <w:bCs/>
          <w:lang w:val="en-GB"/>
        </w:rPr>
      </w:pPr>
      <w:r w:rsidRPr="00BF3453">
        <w:rPr>
          <w:b/>
          <w:bCs/>
          <w:lang w:val="en-GB"/>
        </w:rPr>
        <w:t>Recommendation</w:t>
      </w:r>
    </w:p>
    <w:p w14:paraId="46C60A2E" w14:textId="32989889" w:rsidR="00BF3453" w:rsidRDefault="00BF3453" w:rsidP="00BF3453">
      <w:pPr>
        <w:rPr>
          <w:b/>
          <w:bCs/>
          <w:lang w:val="en-GB"/>
        </w:rPr>
      </w:pPr>
      <w:r w:rsidRPr="004905F3">
        <w:rPr>
          <w:b/>
          <w:bCs/>
          <w:lang w:val="en-GB"/>
        </w:rPr>
        <w:t>It is recommended that DBS considers</w:t>
      </w:r>
      <w:r w:rsidR="001111A2">
        <w:rPr>
          <w:b/>
          <w:bCs/>
          <w:lang w:val="en-GB"/>
        </w:rPr>
        <w:t xml:space="preserve"> the</w:t>
      </w:r>
      <w:r w:rsidRPr="004905F3">
        <w:rPr>
          <w:b/>
          <w:bCs/>
          <w:lang w:val="en-GB"/>
        </w:rPr>
        <w:t xml:space="preserve"> timely acquisition of core journals that are specific to </w:t>
      </w:r>
      <w:r w:rsidR="001111A2">
        <w:rPr>
          <w:b/>
          <w:bCs/>
          <w:lang w:val="en-GB"/>
        </w:rPr>
        <w:t>H</w:t>
      </w:r>
      <w:r w:rsidRPr="004905F3">
        <w:rPr>
          <w:b/>
          <w:bCs/>
          <w:lang w:val="en-GB"/>
        </w:rPr>
        <w:t xml:space="preserve">ealth </w:t>
      </w:r>
      <w:r w:rsidR="001111A2">
        <w:rPr>
          <w:b/>
          <w:bCs/>
          <w:lang w:val="en-GB"/>
        </w:rPr>
        <w:t>P</w:t>
      </w:r>
      <w:r w:rsidRPr="004905F3">
        <w:rPr>
          <w:b/>
          <w:bCs/>
          <w:lang w:val="en-GB"/>
        </w:rPr>
        <w:t>sychology before the programme commences.  This is in addition to the programme reading list</w:t>
      </w:r>
      <w:r w:rsidR="001111A2">
        <w:rPr>
          <w:b/>
          <w:bCs/>
          <w:lang w:val="en-GB"/>
        </w:rPr>
        <w:t>s</w:t>
      </w:r>
      <w:r w:rsidRPr="004905F3">
        <w:rPr>
          <w:b/>
          <w:bCs/>
          <w:lang w:val="en-GB"/>
        </w:rPr>
        <w:t xml:space="preserve"> which should be regularly reviewed to ensure that </w:t>
      </w:r>
      <w:r w:rsidR="001111A2">
        <w:rPr>
          <w:b/>
          <w:bCs/>
          <w:lang w:val="en-GB"/>
        </w:rPr>
        <w:t>they</w:t>
      </w:r>
      <w:r w:rsidRPr="004905F3">
        <w:rPr>
          <w:b/>
          <w:bCs/>
          <w:lang w:val="en-GB"/>
        </w:rPr>
        <w:t xml:space="preserve"> </w:t>
      </w:r>
      <w:r w:rsidR="00795A6E">
        <w:rPr>
          <w:b/>
          <w:bCs/>
          <w:lang w:val="en-GB"/>
        </w:rPr>
        <w:t xml:space="preserve">are </w:t>
      </w:r>
      <w:r w:rsidRPr="004905F3">
        <w:rPr>
          <w:b/>
          <w:bCs/>
          <w:lang w:val="en-GB"/>
        </w:rPr>
        <w:t>current and reflect</w:t>
      </w:r>
      <w:r w:rsidR="00E019C7">
        <w:rPr>
          <w:b/>
          <w:bCs/>
          <w:lang w:val="en-GB"/>
        </w:rPr>
        <w:t xml:space="preserve"> </w:t>
      </w:r>
      <w:r w:rsidRPr="004905F3">
        <w:rPr>
          <w:b/>
          <w:bCs/>
          <w:lang w:val="en-GB"/>
        </w:rPr>
        <w:t>contemporary research.</w:t>
      </w:r>
    </w:p>
    <w:p w14:paraId="1FD888D7" w14:textId="12AF2010" w:rsidR="00217A8C" w:rsidRPr="00217A8C" w:rsidRDefault="00217A8C" w:rsidP="00BF3453">
      <w:pPr>
        <w:rPr>
          <w:lang w:val="en-GB"/>
        </w:rPr>
      </w:pPr>
      <w:r>
        <w:rPr>
          <w:lang w:val="en-GB"/>
        </w:rPr>
        <w:t>The panel noted that some reading lists were not in the A</w:t>
      </w:r>
      <w:r w:rsidR="00F9076B">
        <w:rPr>
          <w:lang w:val="en-GB"/>
        </w:rPr>
        <w:t xml:space="preserve">merican </w:t>
      </w:r>
      <w:r>
        <w:rPr>
          <w:lang w:val="en-GB"/>
        </w:rPr>
        <w:t>P</w:t>
      </w:r>
      <w:r w:rsidR="00F9076B">
        <w:rPr>
          <w:lang w:val="en-GB"/>
        </w:rPr>
        <w:t xml:space="preserve">sychological </w:t>
      </w:r>
      <w:r>
        <w:rPr>
          <w:lang w:val="en-GB"/>
        </w:rPr>
        <w:t>A</w:t>
      </w:r>
      <w:r w:rsidR="00F9076B">
        <w:rPr>
          <w:lang w:val="en-GB"/>
        </w:rPr>
        <w:t>ssociation (APA)</w:t>
      </w:r>
      <w:r>
        <w:rPr>
          <w:lang w:val="en-GB"/>
        </w:rPr>
        <w:t xml:space="preserve"> </w:t>
      </w:r>
      <w:r w:rsidR="00F9076B">
        <w:rPr>
          <w:lang w:val="en-GB"/>
        </w:rPr>
        <w:t xml:space="preserve">referencing style </w:t>
      </w:r>
      <w:r>
        <w:rPr>
          <w:lang w:val="en-GB"/>
        </w:rPr>
        <w:t>and made the following recommendation.</w:t>
      </w:r>
    </w:p>
    <w:p w14:paraId="11E3339E" w14:textId="7D4F3B10" w:rsidR="00217A8C" w:rsidRPr="004905F3" w:rsidRDefault="00217A8C" w:rsidP="00BF3453">
      <w:pPr>
        <w:rPr>
          <w:b/>
          <w:bCs/>
          <w:lang w:val="en-GB"/>
        </w:rPr>
      </w:pPr>
      <w:r>
        <w:rPr>
          <w:b/>
          <w:bCs/>
          <w:lang w:val="en-GB"/>
        </w:rPr>
        <w:t>Recommendation</w:t>
      </w:r>
    </w:p>
    <w:p w14:paraId="6BE90880" w14:textId="435C961D" w:rsidR="00BF3453" w:rsidRPr="000B19A6" w:rsidRDefault="00BF3453" w:rsidP="00BF3453">
      <w:pPr>
        <w:rPr>
          <w:b/>
          <w:bCs/>
          <w:lang w:val="en-GB"/>
        </w:rPr>
      </w:pPr>
      <w:r w:rsidRPr="004905F3">
        <w:rPr>
          <w:b/>
          <w:bCs/>
          <w:lang w:val="en-GB"/>
        </w:rPr>
        <w:t xml:space="preserve">It is recommended that DBS consider that all reading lists are in the appropriate APA </w:t>
      </w:r>
      <w:r w:rsidR="00F9076B" w:rsidRPr="000B19A6">
        <w:rPr>
          <w:b/>
          <w:bCs/>
          <w:lang w:val="en-GB"/>
        </w:rPr>
        <w:t>referencing style</w:t>
      </w:r>
      <w:r w:rsidRPr="000B19A6">
        <w:rPr>
          <w:b/>
          <w:bCs/>
          <w:lang w:val="en-GB"/>
        </w:rPr>
        <w:t>.</w:t>
      </w:r>
    </w:p>
    <w:p w14:paraId="269CE424" w14:textId="77777777" w:rsidR="00BF3453" w:rsidRPr="00BF3453" w:rsidRDefault="00BF3453" w:rsidP="00BF3453">
      <w:pPr>
        <w:rPr>
          <w:lang w:val="en-GB"/>
        </w:rPr>
      </w:pPr>
    </w:p>
    <w:p w14:paraId="07BE0F70" w14:textId="77777777" w:rsidR="00F060AB" w:rsidRDefault="00BC1208" w:rsidP="00F060AB">
      <w:pPr>
        <w:rPr>
          <w:rFonts w:eastAsia="Times New Roman" w:cstheme="minorHAnsi"/>
          <w:b/>
          <w:bCs/>
          <w:sz w:val="24"/>
          <w:szCs w:val="24"/>
        </w:rPr>
      </w:pPr>
      <w:r>
        <w:rPr>
          <w:rFonts w:eastAsia="Times New Roman" w:cstheme="minorHAnsi"/>
          <w:b/>
          <w:bCs/>
          <w:sz w:val="24"/>
          <w:szCs w:val="24"/>
        </w:rPr>
        <w:br w:type="page"/>
      </w:r>
    </w:p>
    <w:p w14:paraId="2162F503" w14:textId="77777777" w:rsidR="00F060AB" w:rsidRPr="003546AE" w:rsidRDefault="00BC1208" w:rsidP="0048373B">
      <w:pPr>
        <w:pStyle w:val="Criterion"/>
        <w:ind w:left="1134" w:hanging="1134"/>
      </w:pPr>
      <w:r w:rsidRPr="003546AE">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1F97F4B7" w14:textId="77777777" w:rsidTr="00302DC7">
        <w:tc>
          <w:tcPr>
            <w:tcW w:w="9021" w:type="dxa"/>
            <w:gridSpan w:val="3"/>
            <w:shd w:val="clear" w:color="auto" w:fill="D9E2F3" w:themeFill="accent1" w:themeFillTint="33"/>
          </w:tcPr>
          <w:p w14:paraId="6C5E25D7" w14:textId="77777777" w:rsidR="00F060AB" w:rsidRPr="003546AE" w:rsidRDefault="00BC1208" w:rsidP="00302DC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72DE9A52" w14:textId="77777777" w:rsidR="00F060AB" w:rsidRPr="003546AE" w:rsidRDefault="00BC1208" w:rsidP="00302DC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practitioners and mentors. </w:t>
            </w:r>
          </w:p>
          <w:p w14:paraId="60D3274F" w14:textId="77777777" w:rsidR="00F060AB" w:rsidRPr="003546AE" w:rsidRDefault="00BC1208" w:rsidP="00302DC7">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F060AB" w:rsidRPr="003546AE" w14:paraId="5DFDBC58" w14:textId="77777777" w:rsidTr="00AC46AA">
        <w:tc>
          <w:tcPr>
            <w:tcW w:w="2393" w:type="dxa"/>
            <w:shd w:val="clear" w:color="auto" w:fill="D9E2F3" w:themeFill="accent1" w:themeFillTint="33"/>
          </w:tcPr>
          <w:p w14:paraId="2393E35A" w14:textId="3831525C"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B85C97C"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568F996D"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688D6CC" w14:textId="77777777" w:rsidTr="00AC46AA">
        <w:tc>
          <w:tcPr>
            <w:tcW w:w="2393" w:type="dxa"/>
            <w:shd w:val="clear" w:color="auto" w:fill="FFFFFF" w:themeFill="background1"/>
          </w:tcPr>
          <w:p w14:paraId="35F5CC9F" w14:textId="2F440355"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293" w:type="dxa"/>
            <w:shd w:val="clear" w:color="auto" w:fill="FFFFFF" w:themeFill="background1"/>
          </w:tcPr>
          <w:p w14:paraId="31B7BBE4" w14:textId="77DB6D10"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6EB44B88" w14:textId="77777777" w:rsidR="00F060AB" w:rsidRDefault="00D35F8D" w:rsidP="00302DC7">
            <w:pPr>
              <w:contextualSpacing/>
              <w:rPr>
                <w:rFonts w:eastAsia="Times New Roman" w:cstheme="minorHAnsi"/>
                <w:sz w:val="20"/>
                <w:szCs w:val="20"/>
              </w:rPr>
            </w:pPr>
          </w:p>
          <w:p w14:paraId="65E8FA61" w14:textId="77777777" w:rsidR="00AC46AA" w:rsidRDefault="00D35F8D" w:rsidP="00302DC7">
            <w:pPr>
              <w:contextualSpacing/>
              <w:rPr>
                <w:rFonts w:eastAsia="Times New Roman" w:cstheme="minorHAnsi"/>
                <w:sz w:val="20"/>
                <w:szCs w:val="20"/>
              </w:rPr>
            </w:pPr>
          </w:p>
          <w:p w14:paraId="1465F610" w14:textId="77777777" w:rsidR="00AC46AA" w:rsidRDefault="00D35F8D" w:rsidP="00302DC7">
            <w:pPr>
              <w:contextualSpacing/>
              <w:rPr>
                <w:rFonts w:eastAsia="Times New Roman" w:cstheme="minorHAnsi"/>
                <w:sz w:val="20"/>
                <w:szCs w:val="20"/>
              </w:rPr>
            </w:pPr>
          </w:p>
          <w:p w14:paraId="70AFE248" w14:textId="35DA57C5" w:rsidR="00AC46AA" w:rsidRPr="003546AE" w:rsidRDefault="00D35F8D" w:rsidP="00302DC7">
            <w:pPr>
              <w:contextualSpacing/>
              <w:rPr>
                <w:rFonts w:eastAsia="Times New Roman" w:cstheme="minorHAnsi"/>
                <w:sz w:val="20"/>
                <w:szCs w:val="20"/>
              </w:rPr>
            </w:pPr>
          </w:p>
        </w:tc>
      </w:tr>
      <w:tr w:rsidR="00F060AB" w:rsidRPr="003546AE" w14:paraId="01474EDA" w14:textId="77777777" w:rsidTr="00AC46AA">
        <w:tc>
          <w:tcPr>
            <w:tcW w:w="2393" w:type="dxa"/>
            <w:shd w:val="clear" w:color="auto" w:fill="FFFFFF" w:themeFill="background1"/>
          </w:tcPr>
          <w:p w14:paraId="5CC8A6A3" w14:textId="644DAE26"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293" w:type="dxa"/>
            <w:shd w:val="clear" w:color="auto" w:fill="FFFFFF" w:themeFill="background1"/>
          </w:tcPr>
          <w:p w14:paraId="18ADB07B" w14:textId="7D107F00"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0368F2E0" w14:textId="77777777" w:rsidR="00F060AB" w:rsidRDefault="00D35F8D" w:rsidP="00302DC7">
            <w:pPr>
              <w:contextualSpacing/>
              <w:rPr>
                <w:rFonts w:eastAsia="Times New Roman" w:cstheme="minorHAnsi"/>
                <w:sz w:val="20"/>
                <w:szCs w:val="20"/>
              </w:rPr>
            </w:pPr>
          </w:p>
          <w:p w14:paraId="0FE4CA35" w14:textId="77777777" w:rsidR="00AC46AA" w:rsidRDefault="00D35F8D" w:rsidP="00302DC7">
            <w:pPr>
              <w:contextualSpacing/>
              <w:rPr>
                <w:rFonts w:eastAsia="Times New Roman" w:cstheme="minorHAnsi"/>
                <w:sz w:val="20"/>
                <w:szCs w:val="20"/>
              </w:rPr>
            </w:pPr>
          </w:p>
          <w:p w14:paraId="1A945351" w14:textId="77777777" w:rsidR="00AC46AA" w:rsidRDefault="00D35F8D" w:rsidP="00302DC7">
            <w:pPr>
              <w:contextualSpacing/>
              <w:rPr>
                <w:rFonts w:eastAsia="Times New Roman" w:cstheme="minorHAnsi"/>
                <w:sz w:val="20"/>
                <w:szCs w:val="20"/>
              </w:rPr>
            </w:pPr>
          </w:p>
          <w:p w14:paraId="5A581C6C" w14:textId="572DFEC9" w:rsidR="00AC46AA" w:rsidRPr="003546AE" w:rsidRDefault="00D35F8D" w:rsidP="00302DC7">
            <w:pPr>
              <w:contextualSpacing/>
              <w:rPr>
                <w:rFonts w:eastAsia="Times New Roman" w:cstheme="minorHAnsi"/>
                <w:sz w:val="20"/>
                <w:szCs w:val="20"/>
              </w:rPr>
            </w:pPr>
          </w:p>
        </w:tc>
      </w:tr>
    </w:tbl>
    <w:p w14:paraId="7BE9F35B" w14:textId="77777777" w:rsidR="00F060AB" w:rsidRPr="003546AE" w:rsidRDefault="00D35F8D" w:rsidP="00F060AB">
      <w:pPr>
        <w:rPr>
          <w:rFonts w:cstheme="minorHAnsi"/>
        </w:rPr>
      </w:pPr>
    </w:p>
    <w:p w14:paraId="5C121EE9" w14:textId="77777777" w:rsidR="005549E0" w:rsidRDefault="00AF5223" w:rsidP="00AF5223">
      <w:pPr>
        <w:pStyle w:val="Default"/>
        <w:spacing w:line="276" w:lineRule="auto"/>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The panel is satisfied that, in general, the learning environment is consistent with the needs of the learners.</w:t>
      </w:r>
    </w:p>
    <w:p w14:paraId="2318B8DF" w14:textId="77777777" w:rsidR="005549E0" w:rsidRDefault="005549E0" w:rsidP="00AF5223">
      <w:pPr>
        <w:pStyle w:val="Default"/>
        <w:spacing w:line="276" w:lineRule="auto"/>
        <w:rPr>
          <w:rFonts w:asciiTheme="minorHAnsi" w:eastAsia="Times New Roman" w:hAnsiTheme="minorHAnsi" w:cstheme="minorHAnsi"/>
          <w:sz w:val="22"/>
          <w:szCs w:val="22"/>
          <w:lang w:val="en-GB" w:eastAsia="en-IE"/>
        </w:rPr>
      </w:pPr>
    </w:p>
    <w:p w14:paraId="10C64418" w14:textId="51F79EFD" w:rsidR="006E6507" w:rsidRDefault="006E6507" w:rsidP="00AF5223">
      <w:pPr>
        <w:pStyle w:val="Default"/>
        <w:spacing w:line="276" w:lineRule="auto"/>
        <w:rPr>
          <w:rFonts w:asciiTheme="minorHAnsi" w:eastAsia="Times New Roman" w:hAnsiTheme="minorHAnsi" w:cstheme="minorHAnsi"/>
          <w:sz w:val="22"/>
          <w:szCs w:val="22"/>
          <w:lang w:val="en-GB" w:eastAsia="en-IE"/>
        </w:rPr>
      </w:pPr>
      <w:r w:rsidRPr="005B47D7">
        <w:rPr>
          <w:rFonts w:asciiTheme="minorHAnsi" w:eastAsia="Times New Roman" w:hAnsiTheme="minorHAnsi" w:cstheme="minorHAnsi"/>
          <w:sz w:val="22"/>
          <w:szCs w:val="22"/>
          <w:lang w:val="en-GB" w:eastAsia="en-IE"/>
        </w:rPr>
        <w:t>It was stated that</w:t>
      </w:r>
      <w:r>
        <w:rPr>
          <w:rFonts w:asciiTheme="minorHAnsi" w:eastAsia="Times New Roman" w:hAnsiTheme="minorHAnsi" w:cstheme="minorHAnsi"/>
          <w:sz w:val="22"/>
          <w:szCs w:val="22"/>
          <w:lang w:val="en-GB" w:eastAsia="en-IE"/>
        </w:rPr>
        <w:t xml:space="preserve"> in DBS</w:t>
      </w:r>
      <w:r w:rsidRPr="005B47D7">
        <w:rPr>
          <w:rFonts w:asciiTheme="minorHAnsi" w:eastAsia="Times New Roman" w:hAnsiTheme="minorHAnsi" w:cstheme="minorHAnsi"/>
          <w:sz w:val="22"/>
          <w:szCs w:val="22"/>
          <w:lang w:val="en-GB" w:eastAsia="en-IE"/>
        </w:rPr>
        <w:t xml:space="preserve"> there</w:t>
      </w:r>
      <w:r w:rsidR="005549E0">
        <w:rPr>
          <w:rFonts w:asciiTheme="minorHAnsi" w:eastAsia="Times New Roman" w:hAnsiTheme="minorHAnsi" w:cstheme="minorHAnsi"/>
          <w:sz w:val="22"/>
          <w:szCs w:val="22"/>
          <w:lang w:val="en-GB" w:eastAsia="en-IE"/>
        </w:rPr>
        <w:t xml:space="preserve"> is</w:t>
      </w:r>
      <w:r w:rsidRPr="005B47D7">
        <w:rPr>
          <w:rFonts w:asciiTheme="minorHAnsi" w:eastAsia="Times New Roman" w:hAnsiTheme="minorHAnsi" w:cstheme="minorHAnsi"/>
          <w:sz w:val="22"/>
          <w:szCs w:val="22"/>
          <w:lang w:val="en-GB" w:eastAsia="en-IE"/>
        </w:rPr>
        <w:t xml:space="preserve"> a culture of open communication between lectures, tutors, supervisors and </w:t>
      </w:r>
      <w:r w:rsidR="00F9076B">
        <w:rPr>
          <w:rFonts w:asciiTheme="minorHAnsi" w:eastAsia="Times New Roman" w:hAnsiTheme="minorHAnsi" w:cstheme="minorHAnsi"/>
          <w:sz w:val="22"/>
          <w:szCs w:val="22"/>
          <w:lang w:val="en-GB" w:eastAsia="en-IE"/>
        </w:rPr>
        <w:t>professional</w:t>
      </w:r>
      <w:r w:rsidR="00F9076B" w:rsidRPr="005B47D7">
        <w:rPr>
          <w:rFonts w:asciiTheme="minorHAnsi" w:eastAsia="Times New Roman" w:hAnsiTheme="minorHAnsi" w:cstheme="minorHAnsi"/>
          <w:sz w:val="22"/>
          <w:szCs w:val="22"/>
          <w:lang w:val="en-GB" w:eastAsia="en-IE"/>
        </w:rPr>
        <w:t xml:space="preserve"> </w:t>
      </w:r>
      <w:r w:rsidRPr="005B47D7">
        <w:rPr>
          <w:rFonts w:asciiTheme="minorHAnsi" w:eastAsia="Times New Roman" w:hAnsiTheme="minorHAnsi" w:cstheme="minorHAnsi"/>
          <w:sz w:val="22"/>
          <w:szCs w:val="22"/>
          <w:lang w:val="en-GB" w:eastAsia="en-IE"/>
        </w:rPr>
        <w:t>and support staff</w:t>
      </w:r>
      <w:r w:rsidR="005549E0">
        <w:rPr>
          <w:rFonts w:asciiTheme="minorHAnsi" w:eastAsia="Times New Roman" w:hAnsiTheme="minorHAnsi" w:cstheme="minorHAnsi"/>
          <w:sz w:val="22"/>
          <w:szCs w:val="22"/>
          <w:lang w:val="en-GB" w:eastAsia="en-IE"/>
        </w:rPr>
        <w:t xml:space="preserve"> </w:t>
      </w:r>
      <w:r w:rsidR="001111A2">
        <w:rPr>
          <w:rFonts w:asciiTheme="minorHAnsi" w:eastAsia="Times New Roman" w:hAnsiTheme="minorHAnsi" w:cstheme="minorHAnsi"/>
          <w:sz w:val="22"/>
          <w:szCs w:val="22"/>
          <w:lang w:val="en-GB" w:eastAsia="en-IE"/>
        </w:rPr>
        <w:t xml:space="preserve">and learners. This </w:t>
      </w:r>
      <w:r w:rsidR="005549E0">
        <w:rPr>
          <w:rFonts w:asciiTheme="minorHAnsi" w:eastAsia="Times New Roman" w:hAnsiTheme="minorHAnsi" w:cstheme="minorHAnsi"/>
          <w:sz w:val="22"/>
          <w:szCs w:val="22"/>
          <w:lang w:val="en-GB" w:eastAsia="en-IE"/>
        </w:rPr>
        <w:t>is</w:t>
      </w:r>
      <w:r w:rsidR="001111A2">
        <w:rPr>
          <w:rFonts w:asciiTheme="minorHAnsi" w:eastAsia="Times New Roman" w:hAnsiTheme="minorHAnsi" w:cstheme="minorHAnsi"/>
          <w:sz w:val="22"/>
          <w:szCs w:val="22"/>
          <w:lang w:val="en-GB" w:eastAsia="en-IE"/>
        </w:rPr>
        <w:t xml:space="preserve"> the case</w:t>
      </w:r>
      <w:r w:rsidR="005549E0">
        <w:rPr>
          <w:rFonts w:asciiTheme="minorHAnsi" w:eastAsia="Times New Roman" w:hAnsiTheme="minorHAnsi" w:cstheme="minorHAnsi"/>
          <w:sz w:val="22"/>
          <w:szCs w:val="22"/>
          <w:lang w:val="en-GB" w:eastAsia="en-IE"/>
        </w:rPr>
        <w:t xml:space="preserve"> </w:t>
      </w:r>
      <w:r w:rsidRPr="005B47D7">
        <w:rPr>
          <w:rFonts w:asciiTheme="minorHAnsi" w:eastAsia="Times New Roman" w:hAnsiTheme="minorHAnsi" w:cstheme="minorHAnsi"/>
          <w:sz w:val="22"/>
          <w:szCs w:val="22"/>
          <w:lang w:val="en-GB" w:eastAsia="en-IE"/>
        </w:rPr>
        <w:t>whether that was in relation to timely feedback on assignments, requests for reschedule of assignments, or flexible support for the well-being of learners</w:t>
      </w:r>
      <w:r>
        <w:rPr>
          <w:rFonts w:asciiTheme="minorHAnsi" w:eastAsia="Times New Roman" w:hAnsiTheme="minorHAnsi" w:cstheme="minorHAnsi"/>
          <w:sz w:val="22"/>
          <w:szCs w:val="22"/>
          <w:lang w:val="en-GB" w:eastAsia="en-IE"/>
        </w:rPr>
        <w:t>. It was further stated that this would be part of the overall approach to the proposed programme.</w:t>
      </w:r>
    </w:p>
    <w:p w14:paraId="4C16D399" w14:textId="77777777" w:rsidR="001111A2" w:rsidRDefault="001111A2" w:rsidP="001111A2">
      <w:pPr>
        <w:pStyle w:val="Default"/>
        <w:spacing w:line="276" w:lineRule="auto"/>
        <w:rPr>
          <w:rFonts w:asciiTheme="minorHAnsi" w:eastAsia="Times New Roman" w:hAnsiTheme="minorHAnsi" w:cstheme="minorHAnsi"/>
          <w:sz w:val="22"/>
          <w:szCs w:val="22"/>
          <w:lang w:val="en-GB" w:eastAsia="en-IE"/>
        </w:rPr>
      </w:pPr>
    </w:p>
    <w:p w14:paraId="2701437B" w14:textId="0C804EDE" w:rsidR="006E6507" w:rsidRDefault="006E6507" w:rsidP="001111A2">
      <w:pPr>
        <w:pStyle w:val="Default"/>
        <w:spacing w:line="276" w:lineRule="auto"/>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 xml:space="preserve">A particular feature of the proposed programme that was discussed at the session was the research placement option, Capstone 1. This involves learners undertaking a placement in a setting </w:t>
      </w:r>
      <w:r w:rsidR="00F9076B">
        <w:rPr>
          <w:rFonts w:asciiTheme="minorHAnsi" w:eastAsia="Times New Roman" w:hAnsiTheme="minorHAnsi" w:cstheme="minorHAnsi"/>
          <w:sz w:val="22"/>
          <w:szCs w:val="22"/>
          <w:lang w:val="en-GB" w:eastAsia="en-IE"/>
        </w:rPr>
        <w:t xml:space="preserve">relevant </w:t>
      </w:r>
      <w:r>
        <w:rPr>
          <w:rFonts w:asciiTheme="minorHAnsi" w:eastAsia="Times New Roman" w:hAnsiTheme="minorHAnsi" w:cstheme="minorHAnsi"/>
          <w:sz w:val="22"/>
          <w:szCs w:val="22"/>
          <w:lang w:val="en-GB" w:eastAsia="en-IE"/>
        </w:rPr>
        <w:t>to Health Psychology, undertaking assigned tasks</w:t>
      </w:r>
      <w:r w:rsidR="005549E0">
        <w:rPr>
          <w:rFonts w:asciiTheme="minorHAnsi" w:eastAsia="Times New Roman" w:hAnsiTheme="minorHAnsi" w:cstheme="minorHAnsi"/>
          <w:sz w:val="22"/>
          <w:szCs w:val="22"/>
          <w:lang w:val="en-GB" w:eastAsia="en-IE"/>
        </w:rPr>
        <w:t xml:space="preserve"> within the organisation,</w:t>
      </w:r>
      <w:r>
        <w:rPr>
          <w:rFonts w:asciiTheme="minorHAnsi" w:eastAsia="Times New Roman" w:hAnsiTheme="minorHAnsi" w:cstheme="minorHAnsi"/>
          <w:sz w:val="22"/>
          <w:szCs w:val="22"/>
          <w:lang w:val="en-GB" w:eastAsia="en-IE"/>
        </w:rPr>
        <w:t xml:space="preserve"> as well as conducting a research project. It was stated that the learner develops their own specific research proposal on a theme that interests them and</w:t>
      </w:r>
      <w:r w:rsidR="00707D74">
        <w:rPr>
          <w:rFonts w:asciiTheme="minorHAnsi" w:eastAsia="Times New Roman" w:hAnsiTheme="minorHAnsi" w:cstheme="minorHAnsi"/>
          <w:sz w:val="22"/>
          <w:szCs w:val="22"/>
          <w:lang w:val="en-GB" w:eastAsia="en-IE"/>
        </w:rPr>
        <w:t xml:space="preserve"> that</w:t>
      </w:r>
      <w:r>
        <w:rPr>
          <w:rFonts w:asciiTheme="minorHAnsi" w:eastAsia="Times New Roman" w:hAnsiTheme="minorHAnsi" w:cstheme="minorHAnsi"/>
          <w:sz w:val="22"/>
          <w:szCs w:val="22"/>
          <w:lang w:val="en-GB" w:eastAsia="en-IE"/>
        </w:rPr>
        <w:t xml:space="preserve"> this is agreed</w:t>
      </w:r>
      <w:r w:rsidR="00707D74">
        <w:rPr>
          <w:rFonts w:asciiTheme="minorHAnsi" w:eastAsia="Times New Roman" w:hAnsiTheme="minorHAnsi" w:cstheme="minorHAnsi"/>
          <w:sz w:val="22"/>
          <w:szCs w:val="22"/>
          <w:lang w:val="en-GB" w:eastAsia="en-IE"/>
        </w:rPr>
        <w:t xml:space="preserve"> in advance</w:t>
      </w:r>
      <w:r>
        <w:rPr>
          <w:rFonts w:asciiTheme="minorHAnsi" w:eastAsia="Times New Roman" w:hAnsiTheme="minorHAnsi" w:cstheme="minorHAnsi"/>
          <w:sz w:val="22"/>
          <w:szCs w:val="22"/>
          <w:lang w:val="en-GB" w:eastAsia="en-IE"/>
        </w:rPr>
        <w:t xml:space="preserve"> with DBS and the organisation.</w:t>
      </w:r>
    </w:p>
    <w:p w14:paraId="4D0B0361" w14:textId="77777777" w:rsidR="001111A2" w:rsidRDefault="001111A2" w:rsidP="006E6507">
      <w:pPr>
        <w:pStyle w:val="Default"/>
        <w:spacing w:line="276" w:lineRule="auto"/>
        <w:ind w:firstLine="32"/>
        <w:rPr>
          <w:rFonts w:asciiTheme="minorHAnsi" w:eastAsia="Times New Roman" w:hAnsiTheme="minorHAnsi" w:cstheme="minorHAnsi"/>
          <w:sz w:val="22"/>
          <w:szCs w:val="22"/>
          <w:lang w:val="en-GB" w:eastAsia="en-IE"/>
        </w:rPr>
      </w:pPr>
    </w:p>
    <w:p w14:paraId="20B4C221" w14:textId="7CBEBC3C" w:rsidR="006E6507" w:rsidRDefault="006E6507" w:rsidP="006E6507">
      <w:pPr>
        <w:pStyle w:val="Default"/>
        <w:spacing w:line="276" w:lineRule="auto"/>
        <w:ind w:firstLine="32"/>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 xml:space="preserve">While DBS, through its own well-developed network of organisations, provides assistance </w:t>
      </w:r>
      <w:r w:rsidR="00F9076B">
        <w:rPr>
          <w:rFonts w:asciiTheme="minorHAnsi" w:eastAsia="Times New Roman" w:hAnsiTheme="minorHAnsi" w:cstheme="minorHAnsi"/>
          <w:sz w:val="22"/>
          <w:szCs w:val="22"/>
          <w:lang w:val="en-GB" w:eastAsia="en-IE"/>
        </w:rPr>
        <w:t xml:space="preserve">with identifying </w:t>
      </w:r>
      <w:r>
        <w:rPr>
          <w:rFonts w:asciiTheme="minorHAnsi" w:eastAsia="Times New Roman" w:hAnsiTheme="minorHAnsi" w:cstheme="minorHAnsi"/>
          <w:sz w:val="22"/>
          <w:szCs w:val="22"/>
          <w:lang w:val="en-GB" w:eastAsia="en-IE"/>
        </w:rPr>
        <w:t>a placement, it is up to the learner to secure it for themselves, the panel was informed. It is anticipated that a large cohort will choose this option as it provides valuable work experience as well as a research opportunity.</w:t>
      </w:r>
    </w:p>
    <w:p w14:paraId="51882528" w14:textId="77777777" w:rsidR="006E6507" w:rsidRDefault="006E6507" w:rsidP="006E6507">
      <w:pPr>
        <w:pStyle w:val="Default"/>
        <w:spacing w:line="276" w:lineRule="auto"/>
        <w:ind w:firstLine="32"/>
        <w:rPr>
          <w:rFonts w:asciiTheme="minorHAnsi" w:eastAsia="Times New Roman" w:hAnsiTheme="minorHAnsi" w:cstheme="minorHAnsi"/>
          <w:sz w:val="22"/>
          <w:szCs w:val="22"/>
          <w:lang w:val="en-GB" w:eastAsia="en-IE"/>
        </w:rPr>
      </w:pPr>
    </w:p>
    <w:p w14:paraId="43789C12" w14:textId="05084186" w:rsidR="006E6507" w:rsidRDefault="006E6507" w:rsidP="006E6507">
      <w:pPr>
        <w:pStyle w:val="Default"/>
        <w:spacing w:line="276" w:lineRule="auto"/>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A dedicated Capstone Coordinator is in place for the proposed programme. The role is to liaise between DBS, the learner and the organisation offering the placement to ensure that it goes smoothly. The Coordinator is the first port-of-call for any difficulties that may arise on either side.</w:t>
      </w:r>
      <w:r w:rsidRPr="00B156F1">
        <w:rPr>
          <w:rFonts w:asciiTheme="minorHAnsi" w:eastAsia="Times New Roman" w:hAnsiTheme="minorHAnsi" w:cstheme="minorHAnsi"/>
          <w:sz w:val="22"/>
          <w:szCs w:val="22"/>
          <w:lang w:val="en-GB" w:eastAsia="en-IE"/>
        </w:rPr>
        <w:t xml:space="preserve"> </w:t>
      </w:r>
    </w:p>
    <w:p w14:paraId="62A08BFF" w14:textId="77777777" w:rsidR="006E6507" w:rsidRDefault="006E6507" w:rsidP="006E6507">
      <w:pPr>
        <w:pStyle w:val="Default"/>
        <w:spacing w:line="276" w:lineRule="auto"/>
        <w:rPr>
          <w:rFonts w:asciiTheme="minorHAnsi" w:eastAsia="Times New Roman" w:hAnsiTheme="minorHAnsi" w:cstheme="minorHAnsi"/>
          <w:sz w:val="22"/>
          <w:szCs w:val="22"/>
          <w:lang w:val="en-GB" w:eastAsia="en-IE"/>
        </w:rPr>
      </w:pPr>
    </w:p>
    <w:p w14:paraId="4427A069" w14:textId="7584EE7D" w:rsidR="006E6507" w:rsidRDefault="006E6507" w:rsidP="006E6507">
      <w:pPr>
        <w:pStyle w:val="Default"/>
        <w:spacing w:line="276" w:lineRule="auto"/>
        <w:ind w:firstLine="32"/>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DBS has developed guidelines for the learner and the organisation offering the placement on what to expect and how to deal with any issues that may arise. This covers issues such as health and safety for instance as well as other matters</w:t>
      </w:r>
      <w:r w:rsidR="000B19A6">
        <w:rPr>
          <w:rFonts w:asciiTheme="minorHAnsi" w:eastAsia="Times New Roman" w:hAnsiTheme="minorHAnsi" w:cstheme="minorHAnsi"/>
          <w:sz w:val="22"/>
          <w:szCs w:val="22"/>
          <w:lang w:val="en-GB" w:eastAsia="en-IE"/>
        </w:rPr>
        <w:t>,</w:t>
      </w:r>
      <w:r>
        <w:rPr>
          <w:rFonts w:asciiTheme="minorHAnsi" w:eastAsia="Times New Roman" w:hAnsiTheme="minorHAnsi" w:cstheme="minorHAnsi"/>
          <w:sz w:val="22"/>
          <w:szCs w:val="22"/>
          <w:lang w:val="en-GB" w:eastAsia="en-IE"/>
        </w:rPr>
        <w:t xml:space="preserve"> such as what to expect in a clinical setting as this may be challenging for some learners. The learner has an onsite supervisor during placement as well as a research supervisor.</w:t>
      </w:r>
    </w:p>
    <w:p w14:paraId="5F3B1253" w14:textId="77777777" w:rsidR="001111A2" w:rsidRDefault="001111A2" w:rsidP="006E6507">
      <w:pPr>
        <w:pStyle w:val="Default"/>
        <w:spacing w:line="276" w:lineRule="auto"/>
        <w:rPr>
          <w:rFonts w:asciiTheme="minorHAnsi" w:eastAsia="Times New Roman" w:hAnsiTheme="minorHAnsi" w:cstheme="minorHAnsi"/>
          <w:sz w:val="22"/>
          <w:szCs w:val="22"/>
          <w:lang w:val="en-GB" w:eastAsia="en-IE"/>
        </w:rPr>
      </w:pPr>
    </w:p>
    <w:p w14:paraId="3A418EE0" w14:textId="3A8D7129" w:rsidR="006E6507" w:rsidRDefault="006E6507" w:rsidP="006E6507">
      <w:pPr>
        <w:pStyle w:val="Default"/>
        <w:spacing w:line="276" w:lineRule="auto"/>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There are also guidelines for the learner on conducting a research project as part of the overall teaching and learning strategy.</w:t>
      </w:r>
    </w:p>
    <w:p w14:paraId="15BACC70" w14:textId="77777777" w:rsidR="006E6507" w:rsidRDefault="006E6507" w:rsidP="006E6507">
      <w:pPr>
        <w:pStyle w:val="Default"/>
        <w:spacing w:line="276" w:lineRule="auto"/>
        <w:ind w:firstLine="32"/>
        <w:rPr>
          <w:rFonts w:asciiTheme="minorHAnsi" w:eastAsia="Times New Roman" w:hAnsiTheme="minorHAnsi" w:cstheme="minorHAnsi"/>
          <w:sz w:val="22"/>
          <w:szCs w:val="22"/>
          <w:lang w:val="en-GB" w:eastAsia="en-IE"/>
        </w:rPr>
      </w:pPr>
    </w:p>
    <w:p w14:paraId="5600C0F4" w14:textId="3072F5B9" w:rsidR="006E6507" w:rsidRDefault="006E6507" w:rsidP="006E6507">
      <w:pPr>
        <w:pStyle w:val="Default"/>
        <w:spacing w:line="276" w:lineRule="auto"/>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The panel is not completely satisfied that there are clear procedures in place to follow if some issues arise on placement that may affect the capacity of the learner to complete the placement research project. For instance, it was not clear</w:t>
      </w:r>
      <w:r w:rsidR="001111A2">
        <w:rPr>
          <w:rFonts w:asciiTheme="minorHAnsi" w:eastAsia="Times New Roman" w:hAnsiTheme="minorHAnsi" w:cstheme="minorHAnsi"/>
          <w:sz w:val="22"/>
          <w:szCs w:val="22"/>
          <w:lang w:val="en-GB" w:eastAsia="en-IE"/>
        </w:rPr>
        <w:t xml:space="preserve"> that</w:t>
      </w:r>
      <w:r>
        <w:rPr>
          <w:rFonts w:asciiTheme="minorHAnsi" w:eastAsia="Times New Roman" w:hAnsiTheme="minorHAnsi" w:cstheme="minorHAnsi"/>
          <w:sz w:val="22"/>
          <w:szCs w:val="22"/>
          <w:lang w:val="en-GB" w:eastAsia="en-IE"/>
        </w:rPr>
        <w:t xml:space="preserve"> if a placement breaks down for whatever reason, or, i</w:t>
      </w:r>
      <w:r w:rsidR="000B19A6">
        <w:rPr>
          <w:rFonts w:asciiTheme="minorHAnsi" w:eastAsia="Times New Roman" w:hAnsiTheme="minorHAnsi" w:cstheme="minorHAnsi"/>
          <w:sz w:val="22"/>
          <w:szCs w:val="22"/>
          <w:lang w:val="en-GB" w:eastAsia="en-IE"/>
        </w:rPr>
        <w:t xml:space="preserve">f </w:t>
      </w:r>
      <w:r w:rsidR="001F4D33">
        <w:rPr>
          <w:rFonts w:asciiTheme="minorHAnsi" w:eastAsia="Times New Roman" w:hAnsiTheme="minorHAnsi" w:cstheme="minorHAnsi"/>
          <w:sz w:val="22"/>
          <w:szCs w:val="22"/>
          <w:lang w:val="en-GB" w:eastAsia="en-IE"/>
        </w:rPr>
        <w:t>it proves</w:t>
      </w:r>
      <w:r>
        <w:rPr>
          <w:rFonts w:asciiTheme="minorHAnsi" w:eastAsia="Times New Roman" w:hAnsiTheme="minorHAnsi" w:cstheme="minorHAnsi"/>
          <w:sz w:val="22"/>
          <w:szCs w:val="22"/>
          <w:lang w:val="en-GB" w:eastAsia="en-IE"/>
        </w:rPr>
        <w:t xml:space="preserve"> difficult to collect sufficient data for the project, that the learner has the option to choose a research dissertation (Capstone 2) with sufficient time allocated to complete this option should the need arise. The panel made the following recommendation in this regard.</w:t>
      </w:r>
    </w:p>
    <w:p w14:paraId="6C8C71E1" w14:textId="77777777" w:rsidR="006E6507" w:rsidRDefault="006E6507" w:rsidP="001111A2">
      <w:pPr>
        <w:pStyle w:val="Default"/>
        <w:spacing w:line="276" w:lineRule="auto"/>
        <w:rPr>
          <w:rFonts w:asciiTheme="minorHAnsi" w:eastAsia="Times New Roman" w:hAnsiTheme="minorHAnsi" w:cstheme="minorHAnsi"/>
          <w:sz w:val="22"/>
          <w:szCs w:val="22"/>
          <w:lang w:val="en-GB" w:eastAsia="en-IE"/>
        </w:rPr>
      </w:pPr>
    </w:p>
    <w:p w14:paraId="62F9ADF0" w14:textId="77777777" w:rsidR="006E6507" w:rsidRPr="004905F3" w:rsidRDefault="006E6507" w:rsidP="006E6507">
      <w:pPr>
        <w:rPr>
          <w:b/>
          <w:bCs/>
          <w:lang w:val="en-GB"/>
        </w:rPr>
      </w:pPr>
      <w:r w:rsidRPr="004905F3">
        <w:rPr>
          <w:b/>
          <w:bCs/>
          <w:lang w:val="en-GB"/>
        </w:rPr>
        <w:t>Recommendation</w:t>
      </w:r>
    </w:p>
    <w:p w14:paraId="1F92AAEE" w14:textId="23FEA401" w:rsidR="006E6507" w:rsidRDefault="006E6507" w:rsidP="006E6507">
      <w:pPr>
        <w:rPr>
          <w:b/>
          <w:bCs/>
          <w:lang w:val="en-GB"/>
        </w:rPr>
      </w:pPr>
      <w:r w:rsidRPr="004905F3">
        <w:rPr>
          <w:b/>
          <w:bCs/>
          <w:lang w:val="en-GB"/>
        </w:rPr>
        <w:t>It is recommended that DBS ensure that all stakeholders are clear on the procedures to follow in relation to potential issues that may occur on placements.</w:t>
      </w:r>
    </w:p>
    <w:p w14:paraId="1A387827" w14:textId="3C48449B" w:rsidR="0001333C" w:rsidRDefault="00B72D64" w:rsidP="00B72D64">
      <w:pPr>
        <w:rPr>
          <w:lang w:val="en-GB"/>
        </w:rPr>
      </w:pPr>
      <w:r>
        <w:rPr>
          <w:lang w:val="en-GB"/>
        </w:rPr>
        <w:t xml:space="preserve">The panel </w:t>
      </w:r>
      <w:r w:rsidR="0001333C">
        <w:rPr>
          <w:lang w:val="en-GB"/>
        </w:rPr>
        <w:t>is not fully satisfied that the weightings for the ECTS are clearly visible across all the documentation provided. It considered that this would be important information for learners to have easy access to prior to the commencement of their studies</w:t>
      </w:r>
      <w:r w:rsidR="00707D74">
        <w:rPr>
          <w:lang w:val="en-GB"/>
        </w:rPr>
        <w:t xml:space="preserve"> and to understand the</w:t>
      </w:r>
      <w:r w:rsidR="00F9076B">
        <w:rPr>
          <w:lang w:val="en-GB"/>
        </w:rPr>
        <w:t xml:space="preserve"> student</w:t>
      </w:r>
      <w:r w:rsidR="00707D74">
        <w:rPr>
          <w:lang w:val="en-GB"/>
        </w:rPr>
        <w:t xml:space="preserve"> effort </w:t>
      </w:r>
      <w:r w:rsidR="00F9076B">
        <w:rPr>
          <w:lang w:val="en-GB"/>
        </w:rPr>
        <w:t xml:space="preserve">hours </w:t>
      </w:r>
      <w:r w:rsidR="00707D74">
        <w:rPr>
          <w:lang w:val="en-GB"/>
        </w:rPr>
        <w:t>required for each assignment</w:t>
      </w:r>
      <w:r w:rsidR="0001333C">
        <w:rPr>
          <w:lang w:val="en-GB"/>
        </w:rPr>
        <w:t xml:space="preserve">. This information to be available across </w:t>
      </w:r>
      <w:r w:rsidR="00F9076B">
        <w:rPr>
          <w:lang w:val="en-GB"/>
        </w:rPr>
        <w:t xml:space="preserve">all programme information </w:t>
      </w:r>
      <w:r w:rsidR="0001333C">
        <w:rPr>
          <w:lang w:val="en-GB"/>
        </w:rPr>
        <w:t>platforms, including the modules descriptors and the Student Handbook.</w:t>
      </w:r>
    </w:p>
    <w:p w14:paraId="7DAC7D5F" w14:textId="305DD170" w:rsidR="00B72D64" w:rsidRPr="0001333C" w:rsidRDefault="00B72D64" w:rsidP="00B72D64">
      <w:pPr>
        <w:rPr>
          <w:lang w:val="en-GB"/>
        </w:rPr>
      </w:pPr>
      <w:r w:rsidRPr="00B72D64">
        <w:rPr>
          <w:b/>
          <w:bCs/>
          <w:lang w:val="en-GB"/>
        </w:rPr>
        <w:t>Recommendation</w:t>
      </w:r>
    </w:p>
    <w:p w14:paraId="7668C233" w14:textId="1EED74D1" w:rsidR="00B72D64" w:rsidRDefault="00B72D64" w:rsidP="00B72D64">
      <w:pPr>
        <w:rPr>
          <w:b/>
          <w:bCs/>
          <w:lang w:val="en-GB"/>
        </w:rPr>
      </w:pPr>
      <w:bookmarkStart w:id="3" w:name="_Hlk102500390"/>
      <w:r w:rsidRPr="00B72D64">
        <w:rPr>
          <w:b/>
          <w:bCs/>
          <w:lang w:val="en-GB"/>
        </w:rPr>
        <w:t xml:space="preserve">It is recommended that DBS ensure that the weightings of ECTS are clearly visible in all documentation, e.g., </w:t>
      </w:r>
      <w:r w:rsidR="0001333C">
        <w:rPr>
          <w:b/>
          <w:bCs/>
          <w:lang w:val="en-GB"/>
        </w:rPr>
        <w:t>S</w:t>
      </w:r>
      <w:r w:rsidRPr="00B72D64">
        <w:rPr>
          <w:b/>
          <w:bCs/>
          <w:lang w:val="en-GB"/>
        </w:rPr>
        <w:t xml:space="preserve">tudent </w:t>
      </w:r>
      <w:r w:rsidR="0001333C">
        <w:rPr>
          <w:b/>
          <w:bCs/>
          <w:lang w:val="en-GB"/>
        </w:rPr>
        <w:t>H</w:t>
      </w:r>
      <w:r w:rsidRPr="00B72D64">
        <w:rPr>
          <w:b/>
          <w:bCs/>
          <w:lang w:val="en-GB"/>
        </w:rPr>
        <w:t>andbook, module descriptors</w:t>
      </w:r>
      <w:r w:rsidR="001111A2">
        <w:rPr>
          <w:b/>
          <w:bCs/>
          <w:lang w:val="en-GB"/>
        </w:rPr>
        <w:t>.</w:t>
      </w:r>
    </w:p>
    <w:p w14:paraId="66E97DD1" w14:textId="77777777" w:rsidR="001111A2" w:rsidRDefault="001111A2" w:rsidP="001111A2">
      <w:pPr>
        <w:pStyle w:val="Default"/>
        <w:spacing w:line="276" w:lineRule="auto"/>
        <w:rPr>
          <w:rFonts w:asciiTheme="minorHAnsi" w:eastAsia="Times New Roman" w:hAnsiTheme="minorHAnsi" w:cstheme="minorHAnsi"/>
          <w:sz w:val="22"/>
          <w:szCs w:val="22"/>
          <w:lang w:val="en-GB" w:eastAsia="en-IE"/>
        </w:rPr>
      </w:pPr>
      <w:r>
        <w:rPr>
          <w:rFonts w:asciiTheme="minorHAnsi" w:eastAsia="Times New Roman" w:hAnsiTheme="minorHAnsi" w:cstheme="minorHAnsi"/>
          <w:sz w:val="22"/>
          <w:szCs w:val="22"/>
          <w:lang w:val="en-GB" w:eastAsia="en-IE"/>
        </w:rPr>
        <w:t>See also Criterion 9 for further comment on the selection of research projects by learners.</w:t>
      </w:r>
    </w:p>
    <w:p w14:paraId="16A741FB" w14:textId="77777777" w:rsidR="001111A2" w:rsidRPr="00B72D64" w:rsidRDefault="001111A2" w:rsidP="00B72D64">
      <w:pPr>
        <w:rPr>
          <w:b/>
          <w:bCs/>
          <w:lang w:val="en-GB"/>
        </w:rPr>
      </w:pPr>
    </w:p>
    <w:bookmarkEnd w:id="3"/>
    <w:p w14:paraId="6AE88CA7" w14:textId="77777777" w:rsidR="00B72D64" w:rsidRPr="00B72D64" w:rsidRDefault="00B72D64" w:rsidP="006E6507">
      <w:pPr>
        <w:rPr>
          <w:b/>
          <w:bCs/>
          <w:lang w:val="en-GB"/>
        </w:rPr>
      </w:pPr>
    </w:p>
    <w:p w14:paraId="7E6CFEF6" w14:textId="367E19AE" w:rsidR="004905F3" w:rsidRDefault="004905F3" w:rsidP="004905F3">
      <w:pPr>
        <w:rPr>
          <w:b/>
          <w:bCs/>
          <w:lang w:val="en-GB"/>
        </w:rPr>
      </w:pPr>
    </w:p>
    <w:p w14:paraId="1EABFADC" w14:textId="46C38ACF" w:rsidR="004905F3" w:rsidRDefault="004905F3" w:rsidP="004905F3">
      <w:pPr>
        <w:rPr>
          <w:b/>
          <w:bCs/>
          <w:lang w:val="en-GB"/>
        </w:rPr>
      </w:pPr>
    </w:p>
    <w:p w14:paraId="56B10C93" w14:textId="613C5A63" w:rsidR="004905F3" w:rsidRDefault="004905F3" w:rsidP="004905F3">
      <w:pPr>
        <w:rPr>
          <w:b/>
          <w:bCs/>
          <w:lang w:val="en-GB"/>
        </w:rPr>
      </w:pPr>
    </w:p>
    <w:p w14:paraId="3142BCB0" w14:textId="684D82DA" w:rsidR="004905F3" w:rsidRDefault="004905F3" w:rsidP="004905F3">
      <w:pPr>
        <w:rPr>
          <w:b/>
          <w:bCs/>
          <w:lang w:val="en-GB"/>
        </w:rPr>
      </w:pPr>
    </w:p>
    <w:p w14:paraId="00A1DA03" w14:textId="0CB8ACC1" w:rsidR="004905F3" w:rsidRDefault="001111A2" w:rsidP="001111A2">
      <w:pPr>
        <w:tabs>
          <w:tab w:val="left" w:pos="7905"/>
        </w:tabs>
        <w:rPr>
          <w:b/>
          <w:bCs/>
          <w:lang w:val="en-GB"/>
        </w:rPr>
      </w:pPr>
      <w:r>
        <w:rPr>
          <w:b/>
          <w:bCs/>
          <w:lang w:val="en-GB"/>
        </w:rPr>
        <w:tab/>
      </w:r>
    </w:p>
    <w:p w14:paraId="08A5F249" w14:textId="6052A006" w:rsidR="004905F3" w:rsidRDefault="004905F3" w:rsidP="004905F3">
      <w:pPr>
        <w:rPr>
          <w:b/>
          <w:bCs/>
          <w:lang w:val="en-GB"/>
        </w:rPr>
      </w:pPr>
    </w:p>
    <w:p w14:paraId="5CD1EFE7" w14:textId="77777777" w:rsidR="00707D74" w:rsidRPr="004905F3" w:rsidRDefault="00707D74" w:rsidP="004905F3">
      <w:pPr>
        <w:rPr>
          <w:b/>
          <w:bCs/>
          <w:lang w:val="en-GB"/>
        </w:rPr>
      </w:pPr>
    </w:p>
    <w:p w14:paraId="375C1601" w14:textId="77777777" w:rsidR="00F060AB" w:rsidRPr="00BF7A5C" w:rsidRDefault="00BC1208" w:rsidP="0048373B">
      <w:pPr>
        <w:pStyle w:val="Criterion"/>
        <w:ind w:left="1134" w:hanging="1134"/>
      </w:pPr>
      <w:r w:rsidRPr="003546AE">
        <w:t>There are sound t</w:t>
      </w:r>
      <w:r>
        <w:t>eaching and learning strategies</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6B716735" w14:textId="77777777" w:rsidTr="00302DC7">
        <w:tc>
          <w:tcPr>
            <w:tcW w:w="9021" w:type="dxa"/>
            <w:gridSpan w:val="3"/>
            <w:shd w:val="clear" w:color="auto" w:fill="D9E2F3" w:themeFill="accent1" w:themeFillTint="33"/>
          </w:tcPr>
          <w:p w14:paraId="62C4F223" w14:textId="77777777" w:rsidR="00F060AB" w:rsidRPr="003546AE" w:rsidRDefault="00BC1208"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F060AB" w:rsidRPr="003546AE" w:rsidRDefault="00BC1208"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F060AB" w:rsidRPr="003546AE" w:rsidRDefault="00BC1208"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F060AB" w:rsidRPr="003546AE" w:rsidRDefault="00BC1208"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77777777" w:rsidR="00F060AB" w:rsidRPr="003546AE" w:rsidRDefault="00BC1208" w:rsidP="00302DC7">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7"/>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F060AB" w:rsidRPr="003546AE" w14:paraId="79409B78" w14:textId="77777777" w:rsidTr="00AC46AA">
        <w:tc>
          <w:tcPr>
            <w:tcW w:w="2393" w:type="dxa"/>
            <w:shd w:val="clear" w:color="auto" w:fill="D9E2F3" w:themeFill="accent1" w:themeFillTint="33"/>
          </w:tcPr>
          <w:p w14:paraId="78914274" w14:textId="573158F4"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7AF530C"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1C11FDC1"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AC46AA">
        <w:tc>
          <w:tcPr>
            <w:tcW w:w="2393" w:type="dxa"/>
            <w:shd w:val="clear" w:color="auto" w:fill="FFFFFF" w:themeFill="background1"/>
          </w:tcPr>
          <w:p w14:paraId="17508308" w14:textId="208D926F"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293" w:type="dxa"/>
            <w:shd w:val="clear" w:color="auto" w:fill="FFFFFF" w:themeFill="background1"/>
          </w:tcPr>
          <w:p w14:paraId="06BF9164" w14:textId="34D2A4D0"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072039E0" w14:textId="77777777" w:rsidR="00F060AB" w:rsidRDefault="00D35F8D" w:rsidP="00302DC7">
            <w:pPr>
              <w:contextualSpacing/>
              <w:rPr>
                <w:rFonts w:eastAsia="Times New Roman" w:cstheme="minorHAnsi"/>
                <w:sz w:val="20"/>
                <w:szCs w:val="20"/>
              </w:rPr>
            </w:pPr>
          </w:p>
          <w:p w14:paraId="40E663D8" w14:textId="77777777" w:rsidR="00AC46AA" w:rsidRDefault="00D35F8D" w:rsidP="00302DC7">
            <w:pPr>
              <w:contextualSpacing/>
              <w:rPr>
                <w:rFonts w:eastAsia="Times New Roman" w:cstheme="minorHAnsi"/>
                <w:sz w:val="20"/>
                <w:szCs w:val="20"/>
              </w:rPr>
            </w:pPr>
          </w:p>
          <w:p w14:paraId="195DC08C" w14:textId="77777777" w:rsidR="00AC46AA" w:rsidRDefault="00D35F8D" w:rsidP="00302DC7">
            <w:pPr>
              <w:contextualSpacing/>
              <w:rPr>
                <w:rFonts w:eastAsia="Times New Roman" w:cstheme="minorHAnsi"/>
                <w:sz w:val="20"/>
                <w:szCs w:val="20"/>
              </w:rPr>
            </w:pPr>
          </w:p>
          <w:p w14:paraId="7E3967BD" w14:textId="61912C4F" w:rsidR="00AC46AA" w:rsidRPr="003546AE" w:rsidRDefault="00D35F8D" w:rsidP="00302DC7">
            <w:pPr>
              <w:contextualSpacing/>
              <w:rPr>
                <w:rFonts w:eastAsia="Times New Roman" w:cstheme="minorHAnsi"/>
                <w:sz w:val="20"/>
                <w:szCs w:val="20"/>
              </w:rPr>
            </w:pPr>
          </w:p>
        </w:tc>
      </w:tr>
      <w:tr w:rsidR="00F060AB" w:rsidRPr="003546AE" w14:paraId="1D42C902" w14:textId="77777777" w:rsidTr="00AC46AA">
        <w:tc>
          <w:tcPr>
            <w:tcW w:w="2393" w:type="dxa"/>
            <w:shd w:val="clear" w:color="auto" w:fill="FFFFFF" w:themeFill="background1"/>
          </w:tcPr>
          <w:p w14:paraId="251CB94E" w14:textId="77B5455C"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293" w:type="dxa"/>
            <w:shd w:val="clear" w:color="auto" w:fill="FFFFFF" w:themeFill="background1"/>
          </w:tcPr>
          <w:p w14:paraId="59FDA8B2" w14:textId="53754F9D"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59295808" w14:textId="77777777" w:rsidR="00F060AB" w:rsidRDefault="00D35F8D" w:rsidP="00302DC7">
            <w:pPr>
              <w:contextualSpacing/>
              <w:rPr>
                <w:rFonts w:eastAsia="Times New Roman" w:cstheme="minorHAnsi"/>
                <w:sz w:val="20"/>
                <w:szCs w:val="20"/>
              </w:rPr>
            </w:pPr>
          </w:p>
          <w:p w14:paraId="363A50E2" w14:textId="77777777" w:rsidR="00AC46AA" w:rsidRDefault="00D35F8D" w:rsidP="00302DC7">
            <w:pPr>
              <w:contextualSpacing/>
              <w:rPr>
                <w:rFonts w:eastAsia="Times New Roman" w:cstheme="minorHAnsi"/>
                <w:sz w:val="20"/>
                <w:szCs w:val="20"/>
              </w:rPr>
            </w:pPr>
          </w:p>
          <w:p w14:paraId="3C7F6AF6" w14:textId="77777777" w:rsidR="00AC46AA" w:rsidRDefault="00D35F8D" w:rsidP="00302DC7">
            <w:pPr>
              <w:contextualSpacing/>
              <w:rPr>
                <w:rFonts w:eastAsia="Times New Roman" w:cstheme="minorHAnsi"/>
                <w:sz w:val="20"/>
                <w:szCs w:val="20"/>
              </w:rPr>
            </w:pPr>
          </w:p>
          <w:p w14:paraId="733D99D1" w14:textId="763DD0C7" w:rsidR="00AC46AA" w:rsidRPr="003546AE" w:rsidRDefault="00D35F8D" w:rsidP="00302DC7">
            <w:pPr>
              <w:contextualSpacing/>
              <w:rPr>
                <w:rFonts w:eastAsia="Times New Roman" w:cstheme="minorHAnsi"/>
                <w:sz w:val="20"/>
                <w:szCs w:val="20"/>
              </w:rPr>
            </w:pPr>
          </w:p>
        </w:tc>
      </w:tr>
    </w:tbl>
    <w:p w14:paraId="4521AF06" w14:textId="0A602FA2" w:rsidR="00F060AB" w:rsidRDefault="00D35F8D" w:rsidP="00F060AB">
      <w:pPr>
        <w:rPr>
          <w:rFonts w:cstheme="minorHAnsi"/>
        </w:rPr>
      </w:pPr>
    </w:p>
    <w:p w14:paraId="271018B8" w14:textId="286965BE" w:rsidR="000F5637" w:rsidRDefault="000F5637" w:rsidP="00F060AB">
      <w:pPr>
        <w:rPr>
          <w:rFonts w:cstheme="minorHAnsi"/>
        </w:rPr>
      </w:pPr>
      <w:r>
        <w:rPr>
          <w:rFonts w:cstheme="minorHAnsi"/>
        </w:rPr>
        <w:t xml:space="preserve">In general, the panel is satisfied that there are sound teaching and learning strategies in place for the proposed programme. </w:t>
      </w:r>
    </w:p>
    <w:p w14:paraId="11CD78BC" w14:textId="680A8A85" w:rsidR="008B7C9F" w:rsidRDefault="008B7C9F" w:rsidP="00F060AB">
      <w:pPr>
        <w:rPr>
          <w:rFonts w:cstheme="minorHAnsi"/>
        </w:rPr>
      </w:pPr>
      <w:r>
        <w:rPr>
          <w:rFonts w:cstheme="minorHAnsi"/>
        </w:rPr>
        <w:t>The issue of research topics chosen by learners for either the Capstone 1 (research placement) or Capstone 2 (dissertation) modules was discussed with the team at the review session. It was noted that learners</w:t>
      </w:r>
      <w:r w:rsidR="00C50DF7">
        <w:rPr>
          <w:rFonts w:cstheme="minorHAnsi"/>
        </w:rPr>
        <w:t xml:space="preserve"> are </w:t>
      </w:r>
      <w:r>
        <w:rPr>
          <w:rFonts w:cstheme="minorHAnsi"/>
        </w:rPr>
        <w:t>encouraged to choose their own research topic. Once the topic had been approved, including ensuring ethical research standards ha</w:t>
      </w:r>
      <w:r w:rsidR="00707D74">
        <w:rPr>
          <w:rFonts w:cstheme="minorHAnsi"/>
        </w:rPr>
        <w:t>ve</w:t>
      </w:r>
      <w:r>
        <w:rPr>
          <w:rFonts w:cstheme="minorHAnsi"/>
        </w:rPr>
        <w:t xml:space="preserve"> been met, DBS would, as far as possible, facilitate the learner</w:t>
      </w:r>
      <w:r w:rsidR="00707D74">
        <w:rPr>
          <w:rFonts w:cstheme="minorHAnsi"/>
        </w:rPr>
        <w:t xml:space="preserve"> to undertake the chosen topic</w:t>
      </w:r>
      <w:r>
        <w:rPr>
          <w:rFonts w:cstheme="minorHAnsi"/>
        </w:rPr>
        <w:t xml:space="preserve"> by providing an appropriate supervisor (See Criterion </w:t>
      </w:r>
      <w:r w:rsidR="00C50DF7">
        <w:rPr>
          <w:rFonts w:cstheme="minorHAnsi"/>
        </w:rPr>
        <w:t>6</w:t>
      </w:r>
      <w:r>
        <w:rPr>
          <w:rFonts w:cstheme="minorHAnsi"/>
        </w:rPr>
        <w:t xml:space="preserve"> above),</w:t>
      </w:r>
      <w:r w:rsidR="00C50DF7">
        <w:rPr>
          <w:rFonts w:cstheme="minorHAnsi"/>
        </w:rPr>
        <w:t xml:space="preserve"> laboratory facilities to conduct research and on-going support from staff as required.</w:t>
      </w:r>
    </w:p>
    <w:p w14:paraId="1C9D22A3" w14:textId="3B249A61" w:rsidR="00C50DF7" w:rsidRPr="003546AE" w:rsidRDefault="00C50DF7" w:rsidP="00F060AB">
      <w:pPr>
        <w:rPr>
          <w:rFonts w:cstheme="minorHAnsi"/>
        </w:rPr>
      </w:pPr>
      <w:r>
        <w:rPr>
          <w:rFonts w:cstheme="minorHAnsi"/>
        </w:rPr>
        <w:t xml:space="preserve">As noted in Criterion 6 above, DBS is moving towards more of a focus on applied research, seeking a range of opportunities for </w:t>
      </w:r>
      <w:r w:rsidR="00D4645C">
        <w:rPr>
          <w:rFonts w:cstheme="minorHAnsi"/>
        </w:rPr>
        <w:t xml:space="preserve">faculty members to undertake </w:t>
      </w:r>
      <w:r w:rsidR="00F9076B">
        <w:rPr>
          <w:rFonts w:cstheme="minorHAnsi"/>
        </w:rPr>
        <w:t xml:space="preserve">and build </w:t>
      </w:r>
      <w:r w:rsidR="00D4645C">
        <w:rPr>
          <w:rFonts w:cstheme="minorHAnsi"/>
        </w:rPr>
        <w:t>research</w:t>
      </w:r>
      <w:r w:rsidR="00F9076B">
        <w:rPr>
          <w:rFonts w:cstheme="minorHAnsi"/>
        </w:rPr>
        <w:t xml:space="preserve"> themes and</w:t>
      </w:r>
      <w:r w:rsidR="00D4645C">
        <w:rPr>
          <w:rFonts w:cstheme="minorHAnsi"/>
        </w:rPr>
        <w:t xml:space="preserve"> projects. The intention is to source funding and collaborative</w:t>
      </w:r>
      <w:r w:rsidR="001111A2">
        <w:rPr>
          <w:rFonts w:cstheme="minorHAnsi"/>
        </w:rPr>
        <w:t xml:space="preserve"> research</w:t>
      </w:r>
      <w:r w:rsidR="00D4645C">
        <w:rPr>
          <w:rFonts w:cstheme="minorHAnsi"/>
        </w:rPr>
        <w:t xml:space="preserve"> partners. The panel suggested that one such collaborative option that </w:t>
      </w:r>
      <w:r w:rsidR="001149AA">
        <w:rPr>
          <w:rFonts w:cstheme="minorHAnsi"/>
        </w:rPr>
        <w:t xml:space="preserve">may </w:t>
      </w:r>
      <w:r w:rsidR="00D4645C">
        <w:rPr>
          <w:rFonts w:cstheme="minorHAnsi"/>
        </w:rPr>
        <w:t xml:space="preserve">benefit both </w:t>
      </w:r>
      <w:r w:rsidR="001149AA">
        <w:rPr>
          <w:rFonts w:cstheme="minorHAnsi"/>
        </w:rPr>
        <w:t xml:space="preserve">academic </w:t>
      </w:r>
      <w:r w:rsidR="00D4645C">
        <w:rPr>
          <w:rFonts w:cstheme="minorHAnsi"/>
        </w:rPr>
        <w:t>staff and learn</w:t>
      </w:r>
      <w:r w:rsidR="001111A2">
        <w:rPr>
          <w:rFonts w:cstheme="minorHAnsi"/>
        </w:rPr>
        <w:t>ers</w:t>
      </w:r>
      <w:r w:rsidR="00D4645C">
        <w:rPr>
          <w:rFonts w:cstheme="minorHAnsi"/>
        </w:rPr>
        <w:t xml:space="preserve"> is if DBS considered directing learn</w:t>
      </w:r>
      <w:r w:rsidR="001111A2">
        <w:rPr>
          <w:rFonts w:cstheme="minorHAnsi"/>
        </w:rPr>
        <w:t>ers</w:t>
      </w:r>
      <w:r w:rsidR="00D4645C">
        <w:rPr>
          <w:rFonts w:cstheme="minorHAnsi"/>
        </w:rPr>
        <w:t xml:space="preserve"> to specific research themes for their Capstone projects</w:t>
      </w:r>
      <w:r w:rsidR="00707D74">
        <w:rPr>
          <w:rFonts w:cstheme="minorHAnsi"/>
        </w:rPr>
        <w:t xml:space="preserve"> </w:t>
      </w:r>
      <w:r w:rsidR="001111A2">
        <w:rPr>
          <w:rFonts w:cstheme="minorHAnsi"/>
        </w:rPr>
        <w:t xml:space="preserve">that </w:t>
      </w:r>
      <w:r w:rsidR="001149AA">
        <w:rPr>
          <w:rFonts w:cstheme="minorHAnsi"/>
        </w:rPr>
        <w:t xml:space="preserve">are developed and of interest to </w:t>
      </w:r>
      <w:r w:rsidR="001111A2">
        <w:rPr>
          <w:rFonts w:cstheme="minorHAnsi"/>
        </w:rPr>
        <w:t>faculty members</w:t>
      </w:r>
      <w:r w:rsidR="00D4645C">
        <w:rPr>
          <w:rFonts w:cstheme="minorHAnsi"/>
        </w:rPr>
        <w:t xml:space="preserve">. This would be in addition to the option for learners to choose </w:t>
      </w:r>
      <w:r w:rsidR="00707D74">
        <w:rPr>
          <w:rFonts w:cstheme="minorHAnsi"/>
        </w:rPr>
        <w:t>their own research topic independently.</w:t>
      </w:r>
    </w:p>
    <w:p w14:paraId="05C70CF2" w14:textId="2D3F6317" w:rsidR="00111942" w:rsidRDefault="00111942" w:rsidP="00F060AB">
      <w:pPr>
        <w:rPr>
          <w:rFonts w:eastAsia="Times New Roman" w:cstheme="minorHAnsi"/>
          <w:b/>
          <w:bCs/>
          <w:sz w:val="24"/>
          <w:szCs w:val="24"/>
        </w:rPr>
      </w:pPr>
      <w:r>
        <w:rPr>
          <w:rFonts w:eastAsia="Times New Roman" w:cstheme="minorHAnsi"/>
          <w:b/>
          <w:bCs/>
          <w:sz w:val="24"/>
          <w:szCs w:val="24"/>
        </w:rPr>
        <w:t>Recommendation</w:t>
      </w:r>
    </w:p>
    <w:p w14:paraId="40485C4E" w14:textId="700C3982" w:rsidR="00111942" w:rsidRPr="00111942" w:rsidRDefault="00111942" w:rsidP="00111942">
      <w:pPr>
        <w:rPr>
          <w:b/>
          <w:bCs/>
          <w:lang w:val="en-GB"/>
        </w:rPr>
      </w:pPr>
      <w:r w:rsidRPr="00111942">
        <w:rPr>
          <w:b/>
          <w:bCs/>
          <w:lang w:val="en-GB"/>
        </w:rPr>
        <w:t xml:space="preserve">It is recommended that DBS consider directing learners to specific research themes in line with Faculty interests and priorities as well as allowing them to choose their own topic. </w:t>
      </w:r>
    </w:p>
    <w:p w14:paraId="38445AF6" w14:textId="0B84EEBA" w:rsidR="00F060AB" w:rsidRDefault="00BC1208" w:rsidP="00F060AB">
      <w:pPr>
        <w:rPr>
          <w:rFonts w:eastAsia="Times New Roman" w:cstheme="minorHAnsi"/>
          <w:b/>
          <w:bCs/>
          <w:sz w:val="24"/>
          <w:szCs w:val="24"/>
        </w:rPr>
      </w:pPr>
      <w:r>
        <w:rPr>
          <w:rFonts w:eastAsia="Times New Roman" w:cstheme="minorHAnsi"/>
          <w:b/>
          <w:bCs/>
          <w:sz w:val="24"/>
          <w:szCs w:val="24"/>
        </w:rPr>
        <w:br w:type="page"/>
      </w:r>
    </w:p>
    <w:p w14:paraId="31626AC8" w14:textId="77777777" w:rsidR="00F060AB" w:rsidRPr="003546AE" w:rsidRDefault="00BC1208" w:rsidP="0048373B">
      <w:pPr>
        <w:pStyle w:val="Criterion"/>
        <w:ind w:left="1134" w:hanging="1134"/>
      </w:pPr>
      <w:r w:rsidRPr="003546AE">
        <w:t>There are sound assessment strategies</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64B4D168" w14:textId="77777777" w:rsidTr="00302DC7">
        <w:tc>
          <w:tcPr>
            <w:tcW w:w="9021" w:type="dxa"/>
            <w:gridSpan w:val="3"/>
            <w:shd w:val="clear" w:color="auto" w:fill="D9E2F3" w:themeFill="accent1" w:themeFillTint="33"/>
          </w:tcPr>
          <w:p w14:paraId="27A74536" w14:textId="77777777" w:rsidR="00F060AB" w:rsidRPr="003546AE" w:rsidRDefault="00BC1208" w:rsidP="007A3DD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8"/>
            </w:r>
            <w:r w:rsidRPr="003546AE">
              <w:rPr>
                <w:rFonts w:eastAsia="Times New Roman" w:cstheme="minorHAnsi"/>
                <w:sz w:val="20"/>
                <w:szCs w:val="20"/>
                <w:lang w:eastAsia="en-GB"/>
              </w:rPr>
              <w:t xml:space="preserve"> </w:t>
            </w:r>
          </w:p>
          <w:p w14:paraId="5716F831" w14:textId="77777777" w:rsidR="00F060AB" w:rsidRPr="003546AE" w:rsidRDefault="00BC1208" w:rsidP="007A3DD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7777777" w:rsidR="00F060AB" w:rsidRPr="003546AE" w:rsidRDefault="00BC1208" w:rsidP="007A3DD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9"/>
            </w:r>
          </w:p>
          <w:p w14:paraId="4E5230B7" w14:textId="77777777" w:rsidR="00F060AB" w:rsidRPr="003546AE" w:rsidRDefault="00BC1208" w:rsidP="007A3DD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77777777" w:rsidR="00F060AB" w:rsidRPr="003546AE" w:rsidRDefault="00BC1208" w:rsidP="007A3DD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20"/>
            </w:r>
          </w:p>
          <w:p w14:paraId="712721AA" w14:textId="77777777" w:rsidR="00F060AB" w:rsidRPr="003546AE" w:rsidRDefault="00BC1208" w:rsidP="007A3DD8">
            <w:pPr>
              <w:numPr>
                <w:ilvl w:val="0"/>
                <w:numId w:val="3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F060AB" w:rsidRPr="003546AE" w:rsidRDefault="00BC1208" w:rsidP="007A3DD8">
            <w:pPr>
              <w:numPr>
                <w:ilvl w:val="0"/>
                <w:numId w:val="3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77777777" w:rsidR="00F060AB" w:rsidRPr="003546AE" w:rsidRDefault="00BC1208" w:rsidP="007A3DD8">
            <w:pPr>
              <w:numPr>
                <w:ilvl w:val="0"/>
                <w:numId w:val="31"/>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21"/>
            </w:r>
          </w:p>
        </w:tc>
      </w:tr>
      <w:tr w:rsidR="00F060AB" w:rsidRPr="003546AE" w14:paraId="44030BB4" w14:textId="77777777" w:rsidTr="00AC46AA">
        <w:tc>
          <w:tcPr>
            <w:tcW w:w="2528" w:type="dxa"/>
            <w:shd w:val="clear" w:color="auto" w:fill="D9E2F3" w:themeFill="accent1" w:themeFillTint="33"/>
          </w:tcPr>
          <w:p w14:paraId="07D27799" w14:textId="1B2E7810"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042E2E1"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1106915B"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0E6753A4" w14:textId="77777777" w:rsidTr="00AC46AA">
        <w:tc>
          <w:tcPr>
            <w:tcW w:w="2528" w:type="dxa"/>
            <w:shd w:val="clear" w:color="auto" w:fill="FFFFFF" w:themeFill="background1"/>
          </w:tcPr>
          <w:p w14:paraId="3A008E86" w14:textId="4C71454B"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300" w:type="dxa"/>
            <w:shd w:val="clear" w:color="auto" w:fill="FFFFFF" w:themeFill="background1"/>
          </w:tcPr>
          <w:p w14:paraId="42687B61" w14:textId="76D86014" w:rsidR="00F060AB" w:rsidRPr="003546AE" w:rsidRDefault="00563BFE"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0C410B64" w14:textId="77777777" w:rsidR="00F060AB" w:rsidRDefault="00D35F8D" w:rsidP="00302DC7">
            <w:pPr>
              <w:contextualSpacing/>
              <w:rPr>
                <w:rFonts w:eastAsia="Times New Roman" w:cstheme="minorHAnsi"/>
                <w:sz w:val="20"/>
                <w:szCs w:val="20"/>
              </w:rPr>
            </w:pPr>
          </w:p>
          <w:p w14:paraId="6B984D28" w14:textId="77777777" w:rsidR="00AC46AA" w:rsidRDefault="00D35F8D" w:rsidP="00302DC7">
            <w:pPr>
              <w:contextualSpacing/>
              <w:rPr>
                <w:rFonts w:eastAsia="Times New Roman" w:cstheme="minorHAnsi"/>
                <w:sz w:val="20"/>
                <w:szCs w:val="20"/>
              </w:rPr>
            </w:pPr>
          </w:p>
          <w:p w14:paraId="20CEFD71" w14:textId="77777777" w:rsidR="00AC46AA" w:rsidRDefault="00D35F8D" w:rsidP="00302DC7">
            <w:pPr>
              <w:contextualSpacing/>
              <w:rPr>
                <w:rFonts w:eastAsia="Times New Roman" w:cstheme="minorHAnsi"/>
                <w:sz w:val="20"/>
                <w:szCs w:val="20"/>
              </w:rPr>
            </w:pPr>
          </w:p>
          <w:p w14:paraId="3D5203C4" w14:textId="4CD4F52F" w:rsidR="00AC46AA" w:rsidRPr="003546AE" w:rsidRDefault="00D35F8D" w:rsidP="00302DC7">
            <w:pPr>
              <w:contextualSpacing/>
              <w:rPr>
                <w:rFonts w:eastAsia="Times New Roman" w:cstheme="minorHAnsi"/>
                <w:sz w:val="20"/>
                <w:szCs w:val="20"/>
              </w:rPr>
            </w:pPr>
          </w:p>
        </w:tc>
      </w:tr>
      <w:tr w:rsidR="00F060AB" w:rsidRPr="003546AE" w14:paraId="576FAEC5" w14:textId="77777777" w:rsidTr="00AC46AA">
        <w:tc>
          <w:tcPr>
            <w:tcW w:w="2528" w:type="dxa"/>
            <w:shd w:val="clear" w:color="auto" w:fill="FFFFFF" w:themeFill="background1"/>
          </w:tcPr>
          <w:p w14:paraId="07735F44" w14:textId="71AFD897" w:rsidR="00F060AB" w:rsidRPr="0033092E" w:rsidRDefault="00563BFE"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300" w:type="dxa"/>
            <w:shd w:val="clear" w:color="auto" w:fill="FFFFFF" w:themeFill="background1"/>
          </w:tcPr>
          <w:p w14:paraId="701A6D8C" w14:textId="01F218F8" w:rsidR="00F060AB" w:rsidRPr="003546AE" w:rsidRDefault="005432C9" w:rsidP="00302DC7">
            <w:pPr>
              <w:contextualSpacing/>
              <w:rPr>
                <w:rFonts w:eastAsia="Times New Roman" w:cstheme="minorHAnsi"/>
                <w:sz w:val="20"/>
                <w:szCs w:val="20"/>
              </w:rPr>
            </w:pPr>
            <w:r>
              <w:rPr>
                <w:rFonts w:eastAsia="Times New Roman" w:cstheme="minorHAnsi"/>
                <w:sz w:val="20"/>
                <w:szCs w:val="20"/>
              </w:rPr>
              <w:t>Yes</w:t>
            </w:r>
          </w:p>
        </w:tc>
        <w:tc>
          <w:tcPr>
            <w:tcW w:w="5193" w:type="dxa"/>
            <w:shd w:val="clear" w:color="auto" w:fill="FFFFFF" w:themeFill="background1"/>
          </w:tcPr>
          <w:p w14:paraId="35F8B545" w14:textId="77777777" w:rsidR="00F060AB" w:rsidRDefault="00D35F8D" w:rsidP="00302DC7">
            <w:pPr>
              <w:contextualSpacing/>
              <w:rPr>
                <w:rFonts w:eastAsia="Times New Roman" w:cstheme="minorHAnsi"/>
                <w:sz w:val="20"/>
                <w:szCs w:val="20"/>
              </w:rPr>
            </w:pPr>
          </w:p>
          <w:p w14:paraId="6B475299" w14:textId="77777777" w:rsidR="00AC46AA" w:rsidRDefault="00D35F8D" w:rsidP="00302DC7">
            <w:pPr>
              <w:contextualSpacing/>
              <w:rPr>
                <w:rFonts w:eastAsia="Times New Roman" w:cstheme="minorHAnsi"/>
                <w:sz w:val="20"/>
                <w:szCs w:val="20"/>
              </w:rPr>
            </w:pPr>
          </w:p>
          <w:p w14:paraId="5CDB4C98" w14:textId="77777777" w:rsidR="00AC46AA" w:rsidRDefault="00D35F8D" w:rsidP="00302DC7">
            <w:pPr>
              <w:contextualSpacing/>
              <w:rPr>
                <w:rFonts w:eastAsia="Times New Roman" w:cstheme="minorHAnsi"/>
                <w:sz w:val="20"/>
                <w:szCs w:val="20"/>
              </w:rPr>
            </w:pPr>
          </w:p>
          <w:p w14:paraId="40E97664" w14:textId="2A38B743" w:rsidR="00AC46AA" w:rsidRPr="003546AE" w:rsidRDefault="00D35F8D" w:rsidP="00302DC7">
            <w:pPr>
              <w:contextualSpacing/>
              <w:rPr>
                <w:rFonts w:eastAsia="Times New Roman" w:cstheme="minorHAnsi"/>
                <w:sz w:val="20"/>
                <w:szCs w:val="20"/>
              </w:rPr>
            </w:pPr>
          </w:p>
        </w:tc>
      </w:tr>
    </w:tbl>
    <w:p w14:paraId="3BEBD587" w14:textId="77777777" w:rsidR="00F060AB" w:rsidRPr="003546AE" w:rsidRDefault="00D35F8D" w:rsidP="00F060AB">
      <w:pPr>
        <w:rPr>
          <w:rFonts w:eastAsia="Times New Roman" w:cstheme="minorHAnsi"/>
          <w:color w:val="2F5496" w:themeColor="accent1" w:themeShade="BF"/>
        </w:rPr>
      </w:pPr>
    </w:p>
    <w:p w14:paraId="5D932561" w14:textId="3CABF41F" w:rsidR="00C87CD9" w:rsidRDefault="00C87CD9" w:rsidP="00111942">
      <w:pPr>
        <w:rPr>
          <w:lang w:val="en-GB"/>
        </w:rPr>
      </w:pPr>
      <w:r>
        <w:rPr>
          <w:lang w:val="en-GB"/>
        </w:rPr>
        <w:t>In general, the panel is satisfied that there are sound assessments strategies in place.</w:t>
      </w:r>
    </w:p>
    <w:p w14:paraId="5A622469" w14:textId="01950905" w:rsidR="00ED2FA1" w:rsidRDefault="00ED2FA1" w:rsidP="00111942">
      <w:pPr>
        <w:rPr>
          <w:lang w:val="en-GB"/>
        </w:rPr>
      </w:pPr>
      <w:r>
        <w:rPr>
          <w:lang w:val="en-GB"/>
        </w:rPr>
        <w:t xml:space="preserve">In discussion with the programme team at the review, </w:t>
      </w:r>
      <w:r w:rsidR="004606F1">
        <w:rPr>
          <w:lang w:val="en-GB"/>
        </w:rPr>
        <w:t xml:space="preserve">the panel is not satisfied that there </w:t>
      </w:r>
      <w:r w:rsidR="00CA03C1">
        <w:rPr>
          <w:lang w:val="en-GB"/>
        </w:rPr>
        <w:t>is</w:t>
      </w:r>
      <w:r w:rsidR="004606F1">
        <w:rPr>
          <w:lang w:val="en-GB"/>
        </w:rPr>
        <w:t xml:space="preserve"> sufficient clarity</w:t>
      </w:r>
      <w:r w:rsidR="00CA03C1">
        <w:rPr>
          <w:lang w:val="en-GB"/>
        </w:rPr>
        <w:t xml:space="preserve"> on the</w:t>
      </w:r>
      <w:r w:rsidR="004606F1">
        <w:rPr>
          <w:lang w:val="en-GB"/>
        </w:rPr>
        <w:t xml:space="preserve"> </w:t>
      </w:r>
      <w:r w:rsidR="00D942EF">
        <w:rPr>
          <w:lang w:val="en-GB"/>
        </w:rPr>
        <w:t>balance</w:t>
      </w:r>
      <w:r w:rsidR="004606F1">
        <w:rPr>
          <w:lang w:val="en-GB"/>
        </w:rPr>
        <w:t xml:space="preserve"> of</w:t>
      </w:r>
      <w:r w:rsidR="0028032A">
        <w:rPr>
          <w:lang w:val="en-GB"/>
        </w:rPr>
        <w:t xml:space="preserve"> </w:t>
      </w:r>
      <w:r w:rsidR="00D942EF">
        <w:rPr>
          <w:lang w:val="en-GB"/>
        </w:rPr>
        <w:t xml:space="preserve">different </w:t>
      </w:r>
      <w:r w:rsidR="0028032A">
        <w:rPr>
          <w:lang w:val="en-GB"/>
        </w:rPr>
        <w:t>assessment methods used in the research placement (Capstone 1) and the dissertation (Capstone 2)</w:t>
      </w:r>
      <w:r w:rsidR="00D942EF">
        <w:rPr>
          <w:lang w:val="en-GB"/>
        </w:rPr>
        <w:t xml:space="preserve"> modules</w:t>
      </w:r>
      <w:r w:rsidR="0028032A">
        <w:rPr>
          <w:lang w:val="en-GB"/>
        </w:rPr>
        <w:t xml:space="preserve">. It was noted, for instance, that there are key differences between the two in that the research placement has an element of assessment related to the performance on placement (20%), while the dissertation has a specific </w:t>
      </w:r>
      <w:r w:rsidR="0028032A" w:rsidRPr="0028032A">
        <w:rPr>
          <w:i/>
          <w:iCs/>
          <w:lang w:val="en-GB"/>
        </w:rPr>
        <w:t>viva voce</w:t>
      </w:r>
      <w:r w:rsidR="0028032A">
        <w:rPr>
          <w:lang w:val="en-GB"/>
        </w:rPr>
        <w:t xml:space="preserve"> requirement. The word counts for the final document</w:t>
      </w:r>
      <w:r w:rsidR="00267378">
        <w:rPr>
          <w:lang w:val="en-GB"/>
        </w:rPr>
        <w:t xml:space="preserve">s </w:t>
      </w:r>
      <w:r w:rsidR="0028032A">
        <w:rPr>
          <w:lang w:val="en-GB"/>
        </w:rPr>
        <w:t>were also different (10,000 word</w:t>
      </w:r>
      <w:r w:rsidR="000D73AE">
        <w:rPr>
          <w:lang w:val="en-GB"/>
        </w:rPr>
        <w:t>s</w:t>
      </w:r>
      <w:r w:rsidR="0028032A">
        <w:rPr>
          <w:lang w:val="en-GB"/>
        </w:rPr>
        <w:t xml:space="preserve"> for Capstone 1 and 12,000 for Capstone 2)</w:t>
      </w:r>
      <w:r w:rsidR="000D73AE">
        <w:rPr>
          <w:lang w:val="en-GB"/>
        </w:rPr>
        <w:t xml:space="preserve">. The panel recommends that the rationale for the differences </w:t>
      </w:r>
      <w:r w:rsidR="00267378">
        <w:rPr>
          <w:lang w:val="en-GB"/>
        </w:rPr>
        <w:t>is</w:t>
      </w:r>
      <w:r w:rsidR="000D73AE">
        <w:rPr>
          <w:lang w:val="en-GB"/>
        </w:rPr>
        <w:t xml:space="preserve"> more clearly stated and that there</w:t>
      </w:r>
      <w:r w:rsidR="00267378">
        <w:rPr>
          <w:lang w:val="en-GB"/>
        </w:rPr>
        <w:t xml:space="preserve"> is</w:t>
      </w:r>
      <w:r w:rsidR="000D73AE">
        <w:rPr>
          <w:lang w:val="en-GB"/>
        </w:rPr>
        <w:t xml:space="preserve"> clear evidence of an equitable balance between the options in terms of</w:t>
      </w:r>
      <w:r w:rsidR="00267378">
        <w:rPr>
          <w:lang w:val="en-GB"/>
        </w:rPr>
        <w:t xml:space="preserve"> the learner effort </w:t>
      </w:r>
      <w:r w:rsidR="000D73AE">
        <w:rPr>
          <w:lang w:val="en-GB"/>
        </w:rPr>
        <w:t xml:space="preserve">required and </w:t>
      </w:r>
      <w:r w:rsidR="00D942EF">
        <w:rPr>
          <w:lang w:val="en-GB"/>
        </w:rPr>
        <w:t>the skills and knowledge</w:t>
      </w:r>
      <w:r w:rsidR="000D73AE">
        <w:rPr>
          <w:lang w:val="en-GB"/>
        </w:rPr>
        <w:t xml:space="preserve"> being assessed.</w:t>
      </w:r>
    </w:p>
    <w:p w14:paraId="15BFE6DC" w14:textId="77777777" w:rsidR="002B56FF" w:rsidRPr="0028032A" w:rsidRDefault="002B56FF" w:rsidP="00111942">
      <w:pPr>
        <w:rPr>
          <w:lang w:val="en-GB"/>
        </w:rPr>
      </w:pPr>
    </w:p>
    <w:p w14:paraId="37F25F78" w14:textId="008A8814" w:rsidR="00FF6102" w:rsidRDefault="00111942" w:rsidP="00111942">
      <w:pPr>
        <w:rPr>
          <w:b/>
          <w:bCs/>
          <w:lang w:val="en-GB"/>
        </w:rPr>
      </w:pPr>
      <w:r w:rsidRPr="00111942">
        <w:rPr>
          <w:b/>
          <w:bCs/>
          <w:lang w:val="en-GB"/>
        </w:rPr>
        <w:t>Recommendation</w:t>
      </w:r>
    </w:p>
    <w:p w14:paraId="3C7763D0" w14:textId="3FEB3062" w:rsidR="00111942" w:rsidRDefault="00111942" w:rsidP="00111942">
      <w:pPr>
        <w:rPr>
          <w:b/>
          <w:bCs/>
          <w:lang w:val="en-GB"/>
        </w:rPr>
      </w:pPr>
      <w:r w:rsidRPr="00111942">
        <w:rPr>
          <w:b/>
          <w:bCs/>
          <w:lang w:val="en-GB"/>
        </w:rPr>
        <w:t>It is recommended that DBS give consideration to ensuring that there is an equitable balance in terms of learner effort hours, word counts and skills assessed across the research placement</w:t>
      </w:r>
      <w:r w:rsidR="00ED2FA1">
        <w:rPr>
          <w:b/>
          <w:bCs/>
          <w:lang w:val="en-GB"/>
        </w:rPr>
        <w:t xml:space="preserve"> (Capstone 1)</w:t>
      </w:r>
      <w:r w:rsidRPr="00111942">
        <w:rPr>
          <w:b/>
          <w:bCs/>
          <w:lang w:val="en-GB"/>
        </w:rPr>
        <w:t xml:space="preserve"> and the dissertation</w:t>
      </w:r>
      <w:r w:rsidR="00ED2FA1">
        <w:rPr>
          <w:b/>
          <w:bCs/>
          <w:lang w:val="en-GB"/>
        </w:rPr>
        <w:t xml:space="preserve"> (Capstone 2)</w:t>
      </w:r>
      <w:r w:rsidRPr="00111942">
        <w:rPr>
          <w:b/>
          <w:bCs/>
          <w:lang w:val="en-GB"/>
        </w:rPr>
        <w:t xml:space="preserve"> modules</w:t>
      </w:r>
      <w:r w:rsidR="00ED2FA1">
        <w:rPr>
          <w:b/>
          <w:bCs/>
          <w:lang w:val="en-GB"/>
        </w:rPr>
        <w:t>.</w:t>
      </w:r>
    </w:p>
    <w:p w14:paraId="30ACB6AC" w14:textId="7C2CF30D" w:rsidR="00FF6102" w:rsidRPr="00C87CD9" w:rsidRDefault="00C87CD9" w:rsidP="00111942">
      <w:pPr>
        <w:rPr>
          <w:lang w:val="en-GB"/>
        </w:rPr>
      </w:pPr>
      <w:r>
        <w:rPr>
          <w:lang w:val="en-GB"/>
        </w:rPr>
        <w:t>The panel noted that there were inconsistencies in word counts and weightings assigned to different assessment across different modules and that, in the interests of fairness and equity, that this be reviewed for the proposed programme. It was noted, for instance, there were different formats for how case studies were to be formatted and presented</w:t>
      </w:r>
      <w:r w:rsidR="00D942EF">
        <w:rPr>
          <w:lang w:val="en-GB"/>
        </w:rPr>
        <w:t xml:space="preserve"> by learners </w:t>
      </w:r>
      <w:r w:rsidR="00ED2FA1">
        <w:rPr>
          <w:lang w:val="en-GB"/>
        </w:rPr>
        <w:t>in different modules. The panel considered that this might be potentially confusing for learners and would benefit from a review. See also Criterion 5 for further comment.</w:t>
      </w:r>
    </w:p>
    <w:p w14:paraId="10B92A03" w14:textId="51E7AE86" w:rsidR="00111942" w:rsidRPr="00111942" w:rsidRDefault="00111942" w:rsidP="00111942">
      <w:pPr>
        <w:rPr>
          <w:b/>
          <w:bCs/>
          <w:lang w:val="en-GB"/>
        </w:rPr>
      </w:pPr>
      <w:r>
        <w:rPr>
          <w:b/>
          <w:bCs/>
          <w:lang w:val="en-GB"/>
        </w:rPr>
        <w:t>Recommendation</w:t>
      </w:r>
    </w:p>
    <w:p w14:paraId="654CE1CC" w14:textId="77777777" w:rsidR="00111942" w:rsidRPr="00111942" w:rsidRDefault="00111942" w:rsidP="00111942">
      <w:pPr>
        <w:rPr>
          <w:b/>
          <w:bCs/>
          <w:lang w:val="en-GB"/>
        </w:rPr>
      </w:pPr>
      <w:r w:rsidRPr="00111942">
        <w:rPr>
          <w:b/>
          <w:bCs/>
          <w:lang w:val="en-GB"/>
        </w:rPr>
        <w:t>It is recommended that DBS consider equity across all modules with particular reference to:</w:t>
      </w:r>
    </w:p>
    <w:p w14:paraId="517F2EDE" w14:textId="77777777" w:rsidR="00111942" w:rsidRPr="00111942" w:rsidRDefault="00111942" w:rsidP="007A3DD8">
      <w:pPr>
        <w:pStyle w:val="ListParagraph"/>
        <w:numPr>
          <w:ilvl w:val="1"/>
          <w:numId w:val="32"/>
        </w:numPr>
        <w:rPr>
          <w:b/>
          <w:bCs/>
          <w:lang w:val="en-GB"/>
        </w:rPr>
      </w:pPr>
      <w:r w:rsidRPr="00111942">
        <w:rPr>
          <w:b/>
          <w:bCs/>
          <w:lang w:val="en-GB"/>
        </w:rPr>
        <w:t>word counts for assessments</w:t>
      </w:r>
    </w:p>
    <w:p w14:paraId="1735D9BC" w14:textId="77777777" w:rsidR="00111942" w:rsidRPr="00111942" w:rsidRDefault="00111942" w:rsidP="007A3DD8">
      <w:pPr>
        <w:pStyle w:val="ListParagraph"/>
        <w:numPr>
          <w:ilvl w:val="1"/>
          <w:numId w:val="32"/>
        </w:numPr>
        <w:rPr>
          <w:b/>
          <w:bCs/>
          <w:lang w:val="en-GB"/>
        </w:rPr>
      </w:pPr>
      <w:r w:rsidRPr="00111942">
        <w:rPr>
          <w:b/>
          <w:bCs/>
          <w:lang w:val="en-GB"/>
        </w:rPr>
        <w:t>assessment formats and weightings e.g., case studies and presentations</w:t>
      </w:r>
    </w:p>
    <w:p w14:paraId="79F710AF" w14:textId="16480DFA" w:rsidR="00111942" w:rsidRPr="00111942" w:rsidRDefault="00BC1208" w:rsidP="00F060AB">
      <w:pPr>
        <w:rPr>
          <w:rFonts w:eastAsia="Times New Roman" w:cstheme="minorHAnsi"/>
          <w:b/>
          <w:bCs/>
          <w:sz w:val="24"/>
          <w:szCs w:val="24"/>
        </w:rPr>
      </w:pPr>
      <w:r w:rsidRPr="00111942">
        <w:rPr>
          <w:rFonts w:eastAsia="Times New Roman" w:cstheme="minorHAnsi"/>
          <w:b/>
          <w:bCs/>
          <w:sz w:val="24"/>
          <w:szCs w:val="24"/>
        </w:rPr>
        <w:br w:type="page"/>
      </w:r>
    </w:p>
    <w:p w14:paraId="7187FCED" w14:textId="77777777" w:rsidR="00F060AB" w:rsidRPr="003546AE" w:rsidRDefault="00BC1208" w:rsidP="0048373B">
      <w:pPr>
        <w:pStyle w:val="Criterion"/>
        <w:ind w:left="1134" w:hanging="1134"/>
      </w:pPr>
      <w:r w:rsidRPr="003546AE">
        <w:t>Learners enrolled on the programme are well informed, guided and cared for</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6A5B6871" w14:textId="77777777" w:rsidTr="00302DC7">
        <w:tc>
          <w:tcPr>
            <w:tcW w:w="9021" w:type="dxa"/>
            <w:gridSpan w:val="3"/>
            <w:shd w:val="clear" w:color="auto" w:fill="D9E2F3" w:themeFill="accent1" w:themeFillTint="33"/>
          </w:tcPr>
          <w:p w14:paraId="08FF139A" w14:textId="77777777" w:rsidR="00F060A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F060A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F060A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F060A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F060A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takes into account and accommodates to the differences between enrolled learners, for example, in terms of their prior learning, maturity, and capabilities. </w:t>
            </w:r>
          </w:p>
          <w:p w14:paraId="1B00EF8B" w14:textId="77777777" w:rsidR="00F060A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F060A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77777777" w:rsidR="00F060A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2"/>
            </w:r>
            <w:r w:rsidRPr="003546AE">
              <w:rPr>
                <w:rFonts w:eastAsia="Times New Roman" w:cstheme="minorHAnsi"/>
                <w:sz w:val="20"/>
                <w:szCs w:val="20"/>
                <w:lang w:eastAsia="en-GB"/>
              </w:rPr>
              <w:t>.</w:t>
            </w:r>
          </w:p>
          <w:p w14:paraId="450128E1" w14:textId="77777777" w:rsidR="00F060A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3"/>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588A0CFD" w14:textId="2BC017B3" w:rsidR="00F060A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w:t>
            </w:r>
            <w:r w:rsidR="003B1AB7" w:rsidRPr="003546AE">
              <w:rPr>
                <w:rFonts w:eastAsia="Times New Roman" w:cstheme="minorHAnsi"/>
                <w:sz w:val="20"/>
                <w:szCs w:val="20"/>
                <w:lang w:eastAsia="en-GB"/>
              </w:rPr>
              <w:t>e.g.,</w:t>
            </w:r>
            <w:r w:rsidRPr="003546AE">
              <w:rPr>
                <w:rFonts w:eastAsia="Times New Roman" w:cstheme="minorHAnsi"/>
                <w:sz w:val="20"/>
                <w:szCs w:val="20"/>
                <w:lang w:eastAsia="en-GB"/>
              </w:rPr>
              <w:t xml:space="preserve"> while at the provider’s premises or those of any collaborators involved in provision, the programme’s locations of provision including any workplace locations or practice-placement locations).</w:t>
            </w:r>
          </w:p>
          <w:p w14:paraId="43212A2A" w14:textId="77777777" w:rsidR="00F060AB" w:rsidRPr="003546AE" w:rsidRDefault="00D35F8D" w:rsidP="00302DC7">
            <w:pPr>
              <w:contextualSpacing/>
              <w:rPr>
                <w:rFonts w:eastAsia="Times New Roman" w:cstheme="minorHAnsi"/>
                <w:b/>
              </w:rPr>
            </w:pPr>
          </w:p>
        </w:tc>
      </w:tr>
      <w:tr w:rsidR="00F060AB" w:rsidRPr="003546AE" w14:paraId="7A5DADE6" w14:textId="77777777" w:rsidTr="00AC46AA">
        <w:tc>
          <w:tcPr>
            <w:tcW w:w="2393" w:type="dxa"/>
            <w:shd w:val="clear" w:color="auto" w:fill="D9E2F3" w:themeFill="accent1" w:themeFillTint="33"/>
          </w:tcPr>
          <w:p w14:paraId="4FC2B96D" w14:textId="60C0B51C" w:rsidR="00F060A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C506688"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337A6ABD"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AC46AA">
        <w:tc>
          <w:tcPr>
            <w:tcW w:w="2393" w:type="dxa"/>
            <w:shd w:val="clear" w:color="auto" w:fill="FFFFFF" w:themeFill="background1"/>
          </w:tcPr>
          <w:p w14:paraId="5283C066" w14:textId="189641E9" w:rsidR="00F060AB" w:rsidRPr="0033092E" w:rsidRDefault="005432C9"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293" w:type="dxa"/>
            <w:shd w:val="clear" w:color="auto" w:fill="FFFFFF" w:themeFill="background1"/>
          </w:tcPr>
          <w:p w14:paraId="2378E24C" w14:textId="2FFC7AB6" w:rsidR="00F060AB" w:rsidRPr="003546AE" w:rsidRDefault="005432C9"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0F8683D8" w14:textId="77777777" w:rsidR="00F060AB" w:rsidRDefault="00D35F8D" w:rsidP="00302DC7">
            <w:pPr>
              <w:contextualSpacing/>
              <w:rPr>
                <w:rFonts w:eastAsia="Times New Roman" w:cstheme="minorHAnsi"/>
                <w:sz w:val="20"/>
                <w:szCs w:val="20"/>
              </w:rPr>
            </w:pPr>
          </w:p>
          <w:p w14:paraId="6A8939A2" w14:textId="77777777" w:rsidR="00AC46AA" w:rsidRDefault="00D35F8D" w:rsidP="00302DC7">
            <w:pPr>
              <w:contextualSpacing/>
              <w:rPr>
                <w:rFonts w:eastAsia="Times New Roman" w:cstheme="minorHAnsi"/>
                <w:sz w:val="20"/>
                <w:szCs w:val="20"/>
              </w:rPr>
            </w:pPr>
          </w:p>
          <w:p w14:paraId="76EEB0B1" w14:textId="77777777" w:rsidR="00AC46AA" w:rsidRDefault="00D35F8D" w:rsidP="00302DC7">
            <w:pPr>
              <w:contextualSpacing/>
              <w:rPr>
                <w:rFonts w:eastAsia="Times New Roman" w:cstheme="minorHAnsi"/>
                <w:sz w:val="20"/>
                <w:szCs w:val="20"/>
              </w:rPr>
            </w:pPr>
          </w:p>
          <w:p w14:paraId="6F8E3DE5" w14:textId="2D74DA7D" w:rsidR="00AC46AA" w:rsidRPr="003546AE" w:rsidRDefault="00D35F8D" w:rsidP="00302DC7">
            <w:pPr>
              <w:contextualSpacing/>
              <w:rPr>
                <w:rFonts w:eastAsia="Times New Roman" w:cstheme="minorHAnsi"/>
                <w:sz w:val="20"/>
                <w:szCs w:val="20"/>
              </w:rPr>
            </w:pPr>
          </w:p>
        </w:tc>
      </w:tr>
      <w:tr w:rsidR="00F060AB" w:rsidRPr="003546AE" w14:paraId="5E82E52D" w14:textId="77777777" w:rsidTr="00AC46AA">
        <w:tc>
          <w:tcPr>
            <w:tcW w:w="2393" w:type="dxa"/>
            <w:shd w:val="clear" w:color="auto" w:fill="FFFFFF" w:themeFill="background1"/>
          </w:tcPr>
          <w:p w14:paraId="4B6BD393" w14:textId="348057F1" w:rsidR="00F060AB" w:rsidRPr="0033092E" w:rsidRDefault="005432C9"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293" w:type="dxa"/>
            <w:shd w:val="clear" w:color="auto" w:fill="FFFFFF" w:themeFill="background1"/>
          </w:tcPr>
          <w:p w14:paraId="02A081A7" w14:textId="7D0D490A" w:rsidR="00F060AB" w:rsidRPr="003546AE" w:rsidRDefault="005432C9" w:rsidP="00302DC7">
            <w:pPr>
              <w:contextualSpacing/>
              <w:rPr>
                <w:rFonts w:eastAsia="Times New Roman" w:cstheme="minorHAnsi"/>
                <w:sz w:val="20"/>
                <w:szCs w:val="20"/>
              </w:rPr>
            </w:pPr>
            <w:r>
              <w:rPr>
                <w:rFonts w:eastAsia="Times New Roman" w:cstheme="minorHAnsi"/>
                <w:sz w:val="20"/>
                <w:szCs w:val="20"/>
              </w:rPr>
              <w:t>Yes</w:t>
            </w:r>
          </w:p>
        </w:tc>
        <w:tc>
          <w:tcPr>
            <w:tcW w:w="5335" w:type="dxa"/>
            <w:shd w:val="clear" w:color="auto" w:fill="FFFFFF" w:themeFill="background1"/>
          </w:tcPr>
          <w:p w14:paraId="405EBD1C" w14:textId="77777777" w:rsidR="00F060AB" w:rsidRDefault="00D35F8D" w:rsidP="00302DC7">
            <w:pPr>
              <w:contextualSpacing/>
              <w:rPr>
                <w:rFonts w:eastAsia="Times New Roman" w:cstheme="minorHAnsi"/>
                <w:sz w:val="20"/>
                <w:szCs w:val="20"/>
              </w:rPr>
            </w:pPr>
          </w:p>
          <w:p w14:paraId="7698E9C5" w14:textId="77777777" w:rsidR="00AC46AA" w:rsidRDefault="00D35F8D" w:rsidP="00302DC7">
            <w:pPr>
              <w:contextualSpacing/>
              <w:rPr>
                <w:rFonts w:eastAsia="Times New Roman" w:cstheme="minorHAnsi"/>
                <w:sz w:val="20"/>
                <w:szCs w:val="20"/>
              </w:rPr>
            </w:pPr>
          </w:p>
          <w:p w14:paraId="1E836686" w14:textId="77777777" w:rsidR="00AC46AA" w:rsidRDefault="00D35F8D" w:rsidP="00302DC7">
            <w:pPr>
              <w:contextualSpacing/>
              <w:rPr>
                <w:rFonts w:eastAsia="Times New Roman" w:cstheme="minorHAnsi"/>
                <w:sz w:val="20"/>
                <w:szCs w:val="20"/>
              </w:rPr>
            </w:pPr>
          </w:p>
          <w:p w14:paraId="629A8F93" w14:textId="634D109E" w:rsidR="00AC46AA" w:rsidRPr="003546AE" w:rsidRDefault="00D35F8D" w:rsidP="00302DC7">
            <w:pPr>
              <w:contextualSpacing/>
              <w:rPr>
                <w:rFonts w:eastAsia="Times New Roman" w:cstheme="minorHAnsi"/>
                <w:sz w:val="20"/>
                <w:szCs w:val="20"/>
              </w:rPr>
            </w:pPr>
          </w:p>
        </w:tc>
      </w:tr>
    </w:tbl>
    <w:p w14:paraId="5A36017C" w14:textId="77777777" w:rsidR="00F060AB" w:rsidRPr="003546AE" w:rsidRDefault="00D35F8D" w:rsidP="00F060AB">
      <w:pPr>
        <w:rPr>
          <w:rFonts w:cstheme="minorHAnsi"/>
        </w:rPr>
      </w:pPr>
    </w:p>
    <w:p w14:paraId="3B5A77E1" w14:textId="77777777" w:rsidR="00230197" w:rsidRPr="000A3F70" w:rsidRDefault="00230197" w:rsidP="00230197">
      <w:r w:rsidRPr="000A3F70">
        <w:t>The panel was advised that DBS uses a number of mechanisms to develop and implement supports for students including:</w:t>
      </w:r>
    </w:p>
    <w:p w14:paraId="18B5C636" w14:textId="77777777" w:rsidR="00230197" w:rsidRPr="000A3F70" w:rsidRDefault="00230197" w:rsidP="007A3DD8">
      <w:pPr>
        <w:pStyle w:val="ListParagraph"/>
        <w:numPr>
          <w:ilvl w:val="0"/>
          <w:numId w:val="33"/>
        </w:numPr>
      </w:pPr>
      <w:r w:rsidRPr="000A3F70">
        <w:t>Learner surveys</w:t>
      </w:r>
    </w:p>
    <w:p w14:paraId="1081C66F" w14:textId="77777777" w:rsidR="00230197" w:rsidRPr="000A3F70" w:rsidRDefault="00230197" w:rsidP="007A3DD8">
      <w:pPr>
        <w:pStyle w:val="ListParagraph"/>
        <w:numPr>
          <w:ilvl w:val="0"/>
          <w:numId w:val="33"/>
        </w:numPr>
      </w:pPr>
      <w:r w:rsidRPr="000A3F70">
        <w:t>Peer Mentoring Support (with training provided for mentors)</w:t>
      </w:r>
    </w:p>
    <w:p w14:paraId="5DA6485E" w14:textId="77777777" w:rsidR="00230197" w:rsidRPr="000A3F70" w:rsidRDefault="00230197" w:rsidP="007A3DD8">
      <w:pPr>
        <w:pStyle w:val="ListParagraph"/>
        <w:numPr>
          <w:ilvl w:val="0"/>
          <w:numId w:val="33"/>
        </w:numPr>
      </w:pPr>
      <w:r w:rsidRPr="000A3F70">
        <w:t>Student representation on the Academic Board and Board of Studies</w:t>
      </w:r>
    </w:p>
    <w:p w14:paraId="4F333941" w14:textId="77777777" w:rsidR="00230197" w:rsidRPr="000A3F70" w:rsidRDefault="00230197" w:rsidP="007A3DD8">
      <w:pPr>
        <w:pStyle w:val="ListParagraph"/>
        <w:numPr>
          <w:ilvl w:val="0"/>
          <w:numId w:val="33"/>
        </w:numPr>
      </w:pPr>
      <w:r w:rsidRPr="000A3F70">
        <w:t>Support for, and engagement with, an elected Student Union</w:t>
      </w:r>
    </w:p>
    <w:p w14:paraId="7B285D28" w14:textId="77777777" w:rsidR="00230197" w:rsidRPr="000A3F70" w:rsidRDefault="00230197" w:rsidP="007A3DD8">
      <w:pPr>
        <w:pStyle w:val="ListParagraph"/>
        <w:numPr>
          <w:ilvl w:val="0"/>
          <w:numId w:val="33"/>
        </w:numPr>
      </w:pPr>
      <w:r w:rsidRPr="000A3F70">
        <w:t>Student services for:</w:t>
      </w:r>
    </w:p>
    <w:p w14:paraId="568AD2F9" w14:textId="77777777" w:rsidR="00230197" w:rsidRPr="000A3F70" w:rsidRDefault="00230197" w:rsidP="007A3DD8">
      <w:pPr>
        <w:pStyle w:val="ListParagraph"/>
        <w:numPr>
          <w:ilvl w:val="1"/>
          <w:numId w:val="33"/>
        </w:numPr>
      </w:pPr>
      <w:r w:rsidRPr="000A3F70">
        <w:t>Accommodation</w:t>
      </w:r>
    </w:p>
    <w:p w14:paraId="26CC75A6" w14:textId="77777777" w:rsidR="00230197" w:rsidRPr="000A3F70" w:rsidRDefault="00230197" w:rsidP="007A3DD8">
      <w:pPr>
        <w:pStyle w:val="ListParagraph"/>
        <w:numPr>
          <w:ilvl w:val="1"/>
          <w:numId w:val="33"/>
        </w:numPr>
      </w:pPr>
      <w:r w:rsidRPr="000A3F70">
        <w:t>Counselling and referral services</w:t>
      </w:r>
    </w:p>
    <w:p w14:paraId="0CCA16F5" w14:textId="77777777" w:rsidR="00230197" w:rsidRPr="000A3F70" w:rsidRDefault="00230197" w:rsidP="007A3DD8">
      <w:pPr>
        <w:pStyle w:val="ListParagraph"/>
        <w:numPr>
          <w:ilvl w:val="1"/>
          <w:numId w:val="33"/>
        </w:numPr>
      </w:pPr>
      <w:r w:rsidRPr="000A3F70">
        <w:t>Sports and societies, with many student-led events</w:t>
      </w:r>
    </w:p>
    <w:p w14:paraId="3FDF6A94" w14:textId="77777777" w:rsidR="00230197" w:rsidRPr="000A3F70" w:rsidRDefault="00230197" w:rsidP="007A3DD8">
      <w:pPr>
        <w:pStyle w:val="ListParagraph"/>
        <w:numPr>
          <w:ilvl w:val="1"/>
          <w:numId w:val="33"/>
        </w:numPr>
      </w:pPr>
      <w:r w:rsidRPr="000A3F70">
        <w:t>Entertainment</w:t>
      </w:r>
    </w:p>
    <w:p w14:paraId="790884BB" w14:textId="77777777" w:rsidR="00230197" w:rsidRDefault="00230197" w:rsidP="007A3DD8">
      <w:pPr>
        <w:pStyle w:val="ListParagraph"/>
        <w:numPr>
          <w:ilvl w:val="1"/>
          <w:numId w:val="33"/>
        </w:numPr>
      </w:pPr>
      <w:r w:rsidRPr="000A3F70">
        <w:t>Study and meeting spaces within the campus</w:t>
      </w:r>
    </w:p>
    <w:p w14:paraId="56D8F963" w14:textId="5AE35C9F" w:rsidR="00230197" w:rsidRDefault="00230197" w:rsidP="00230197">
      <w:pPr>
        <w:rPr>
          <w:lang w:val="en-GB"/>
        </w:rPr>
      </w:pPr>
      <w:r w:rsidRPr="00CF7558">
        <w:rPr>
          <w:lang w:val="en-GB"/>
        </w:rPr>
        <w:t>The panel was informed that, as a private college, DBS does not qual</w:t>
      </w:r>
      <w:r w:rsidR="00427626">
        <w:rPr>
          <w:lang w:val="en-GB"/>
        </w:rPr>
        <w:t>ify</w:t>
      </w:r>
      <w:r w:rsidRPr="00CF7558">
        <w:rPr>
          <w:lang w:val="en-GB"/>
        </w:rPr>
        <w:t xml:space="preserve"> for Government student support services for people with disabilities, although this is under review. A recent example involving a learner who needed the support of a Personal Assistant to attend a programme in DBS was refused funding for the service. The person then successfully lobbied for funding and is now attending the college. DBS stated that it is hoped that this case will set a precedent for other learners with a disability to get the necessary support to attend DBS programmes.</w:t>
      </w:r>
    </w:p>
    <w:p w14:paraId="5CE423C1" w14:textId="54E325A0" w:rsidR="00230197" w:rsidRDefault="00230197" w:rsidP="00230197">
      <w:pPr>
        <w:rPr>
          <w:lang w:val="en-GB"/>
        </w:rPr>
      </w:pPr>
      <w:r>
        <w:rPr>
          <w:lang w:val="en-GB"/>
        </w:rPr>
        <w:t xml:space="preserve">The panel was informed that DBS operates on the principle of providing fair and equal opportunity to each earner. Where possible, DBS employs universal learning and design practices which provides learners with greater opportunity to participate in </w:t>
      </w:r>
      <w:r w:rsidR="00D942EF">
        <w:rPr>
          <w:lang w:val="en-GB"/>
        </w:rPr>
        <w:t xml:space="preserve">all teaching and learning modalities </w:t>
      </w:r>
      <w:r>
        <w:rPr>
          <w:lang w:val="en-GB"/>
        </w:rPr>
        <w:t>as well as in the social life of the college.</w:t>
      </w:r>
    </w:p>
    <w:p w14:paraId="373C8652" w14:textId="77777777" w:rsidR="00230197" w:rsidRDefault="00230197" w:rsidP="00230197">
      <w:pPr>
        <w:rPr>
          <w:lang w:val="en-GB"/>
        </w:rPr>
      </w:pPr>
      <w:r>
        <w:rPr>
          <w:lang w:val="en-GB"/>
        </w:rPr>
        <w:t>Any learner with special needs has the opportunity meet with members of the Student Services team to discuss their specific needs and every effort is made to accommodate them.</w:t>
      </w:r>
    </w:p>
    <w:p w14:paraId="27F9BE26" w14:textId="728358B2" w:rsidR="00230197" w:rsidRDefault="00230197" w:rsidP="00230197">
      <w:pPr>
        <w:rPr>
          <w:lang w:val="en-GB"/>
        </w:rPr>
      </w:pPr>
      <w:r>
        <w:rPr>
          <w:lang w:val="en-GB"/>
        </w:rPr>
        <w:t>It was stated that the team meets on a weekly basis to review all touchpoints with learners on its disability register to ensure that the correct provision is in place</w:t>
      </w:r>
      <w:r w:rsidR="00D942EF">
        <w:rPr>
          <w:lang w:val="en-GB"/>
        </w:rPr>
        <w:t xml:space="preserve"> at all times</w:t>
      </w:r>
      <w:r>
        <w:rPr>
          <w:lang w:val="en-GB"/>
        </w:rPr>
        <w:t>.</w:t>
      </w:r>
    </w:p>
    <w:p w14:paraId="330080C9" w14:textId="67401A24" w:rsidR="00230197" w:rsidRDefault="00230197" w:rsidP="00230197">
      <w:pPr>
        <w:rPr>
          <w:lang w:val="en-GB"/>
        </w:rPr>
      </w:pPr>
      <w:r>
        <w:rPr>
          <w:lang w:val="en-GB"/>
        </w:rPr>
        <w:t>It was noted that there is a</w:t>
      </w:r>
      <w:r w:rsidR="00D942EF">
        <w:rPr>
          <w:lang w:val="en-GB"/>
        </w:rPr>
        <w:t xml:space="preserve"> confidential external</w:t>
      </w:r>
      <w:r>
        <w:rPr>
          <w:lang w:val="en-GB"/>
        </w:rPr>
        <w:t xml:space="preserve"> service to support learners </w:t>
      </w:r>
      <w:r w:rsidR="00D942EF">
        <w:rPr>
          <w:lang w:val="en-GB"/>
        </w:rPr>
        <w:t>experiencing mental</w:t>
      </w:r>
      <w:r>
        <w:rPr>
          <w:lang w:val="en-GB"/>
        </w:rPr>
        <w:t xml:space="preserve"> health issues</w:t>
      </w:r>
      <w:r w:rsidR="00D942EF">
        <w:rPr>
          <w:lang w:val="en-GB"/>
        </w:rPr>
        <w:t>.</w:t>
      </w:r>
    </w:p>
    <w:p w14:paraId="355975B6" w14:textId="77777777" w:rsidR="00230197" w:rsidRDefault="00230197" w:rsidP="00230197">
      <w:pPr>
        <w:rPr>
          <w:lang w:val="en-GB"/>
        </w:rPr>
      </w:pPr>
      <w:r>
        <w:rPr>
          <w:lang w:val="en-GB"/>
        </w:rPr>
        <w:t>There are services to advise learners about potential employment opportunities and assistance with preparation of CVs and for interview.</w:t>
      </w:r>
    </w:p>
    <w:p w14:paraId="4405A707" w14:textId="3BB8BB7C" w:rsidR="00230197" w:rsidRDefault="00230197" w:rsidP="00230197">
      <w:pPr>
        <w:rPr>
          <w:lang w:val="en-GB"/>
        </w:rPr>
      </w:pPr>
      <w:r>
        <w:rPr>
          <w:lang w:val="en-GB"/>
        </w:rPr>
        <w:t>The panel noted that much of the information outlined during the review session about</w:t>
      </w:r>
      <w:r w:rsidR="0072068F">
        <w:rPr>
          <w:lang w:val="en-GB"/>
        </w:rPr>
        <w:t xml:space="preserve"> the student services described, </w:t>
      </w:r>
      <w:r>
        <w:rPr>
          <w:lang w:val="en-GB"/>
        </w:rPr>
        <w:t>particula</w:t>
      </w:r>
      <w:r w:rsidR="0072068F">
        <w:rPr>
          <w:lang w:val="en-GB"/>
        </w:rPr>
        <w:t xml:space="preserve">rly about disability </w:t>
      </w:r>
      <w:r>
        <w:rPr>
          <w:lang w:val="en-GB"/>
        </w:rPr>
        <w:t>support services, w</w:t>
      </w:r>
      <w:r w:rsidR="00CA03C1">
        <w:rPr>
          <w:lang w:val="en-GB"/>
        </w:rPr>
        <w:t>as</w:t>
      </w:r>
      <w:r>
        <w:rPr>
          <w:lang w:val="en-GB"/>
        </w:rPr>
        <w:t xml:space="preserve"> not easily found in the DBS handbook or on their website. DBS indicted that there was further information available in the Quality Assurance section of the website </w:t>
      </w:r>
      <w:r w:rsidR="0072068F">
        <w:rPr>
          <w:lang w:val="en-GB"/>
        </w:rPr>
        <w:t xml:space="preserve">while </w:t>
      </w:r>
      <w:r>
        <w:rPr>
          <w:lang w:val="en-GB"/>
        </w:rPr>
        <w:t>acknowledg</w:t>
      </w:r>
      <w:r w:rsidR="0072068F">
        <w:rPr>
          <w:lang w:val="en-GB"/>
        </w:rPr>
        <w:t>ing</w:t>
      </w:r>
      <w:r>
        <w:rPr>
          <w:lang w:val="en-GB"/>
        </w:rPr>
        <w:t xml:space="preserve"> that this might not be the first port</w:t>
      </w:r>
      <w:r w:rsidR="0072068F">
        <w:rPr>
          <w:lang w:val="en-GB"/>
        </w:rPr>
        <w:t>-</w:t>
      </w:r>
      <w:r>
        <w:rPr>
          <w:lang w:val="en-GB"/>
        </w:rPr>
        <w:t xml:space="preserve"> of</w:t>
      </w:r>
      <w:r w:rsidR="0072068F">
        <w:rPr>
          <w:lang w:val="en-GB"/>
        </w:rPr>
        <w:t>-</w:t>
      </w:r>
      <w:r>
        <w:rPr>
          <w:lang w:val="en-GB"/>
        </w:rPr>
        <w:t xml:space="preserve">call for prospective learners. </w:t>
      </w:r>
    </w:p>
    <w:p w14:paraId="3CAEFA32" w14:textId="0842B424" w:rsidR="00230197" w:rsidRDefault="00230197" w:rsidP="00230197">
      <w:pPr>
        <w:rPr>
          <w:lang w:val="en-GB"/>
        </w:rPr>
      </w:pPr>
      <w:r>
        <w:rPr>
          <w:lang w:val="en-GB"/>
        </w:rPr>
        <w:t>The panel recommended that this valuable information be made more readily available and made the following recommendation.</w:t>
      </w:r>
    </w:p>
    <w:p w14:paraId="5C6D748B" w14:textId="4143ADCD" w:rsidR="0030552D" w:rsidRPr="0030552D" w:rsidRDefault="0030552D" w:rsidP="0030552D">
      <w:pPr>
        <w:rPr>
          <w:b/>
          <w:bCs/>
          <w:lang w:val="en-GB"/>
        </w:rPr>
      </w:pPr>
      <w:r w:rsidRPr="0030552D">
        <w:rPr>
          <w:b/>
          <w:bCs/>
          <w:lang w:val="en-GB"/>
        </w:rPr>
        <w:t>Recommendation</w:t>
      </w:r>
    </w:p>
    <w:p w14:paraId="1673F496" w14:textId="550727A5" w:rsidR="0030552D" w:rsidRDefault="0030552D" w:rsidP="0030552D">
      <w:pPr>
        <w:rPr>
          <w:b/>
          <w:bCs/>
          <w:lang w:val="en-GB"/>
        </w:rPr>
      </w:pPr>
      <w:r w:rsidRPr="0030552D">
        <w:rPr>
          <w:b/>
          <w:bCs/>
          <w:lang w:val="en-GB"/>
        </w:rPr>
        <w:t xml:space="preserve">It is recommended that DBS highlight the range of student support </w:t>
      </w:r>
      <w:r w:rsidRPr="008D1B6E">
        <w:rPr>
          <w:b/>
          <w:bCs/>
          <w:lang w:val="en-GB"/>
        </w:rPr>
        <w:t>services</w:t>
      </w:r>
      <w:r w:rsidR="008B3CF2" w:rsidRPr="008D1B6E">
        <w:rPr>
          <w:b/>
          <w:bCs/>
          <w:lang w:val="en-GB"/>
        </w:rPr>
        <w:t xml:space="preserve"> available </w:t>
      </w:r>
      <w:r w:rsidRPr="008D1B6E">
        <w:rPr>
          <w:b/>
          <w:bCs/>
          <w:lang w:val="en-GB"/>
        </w:rPr>
        <w:t xml:space="preserve">in </w:t>
      </w:r>
      <w:r w:rsidRPr="0030552D">
        <w:rPr>
          <w:b/>
          <w:bCs/>
          <w:lang w:val="en-GB"/>
        </w:rPr>
        <w:t>the programme documentation, student handbook and DBS website.</w:t>
      </w:r>
    </w:p>
    <w:p w14:paraId="33F15603" w14:textId="6E72CF8E" w:rsidR="00230197" w:rsidRPr="00230197" w:rsidRDefault="00230197" w:rsidP="0030552D">
      <w:pPr>
        <w:rPr>
          <w:lang w:val="en-GB"/>
        </w:rPr>
      </w:pPr>
      <w:r>
        <w:rPr>
          <w:lang w:val="en-GB"/>
        </w:rPr>
        <w:t>The panel noted the extent and depth of the student support services available within the college and commends DBS for its approach.</w:t>
      </w:r>
    </w:p>
    <w:p w14:paraId="2C808301" w14:textId="77777777" w:rsidR="0030552D" w:rsidRPr="0030552D" w:rsidRDefault="0030552D" w:rsidP="0030552D">
      <w:pPr>
        <w:rPr>
          <w:b/>
          <w:bCs/>
          <w:lang w:val="en-GB"/>
        </w:rPr>
      </w:pPr>
      <w:r w:rsidRPr="0030552D">
        <w:rPr>
          <w:b/>
          <w:bCs/>
          <w:lang w:val="en-GB"/>
        </w:rPr>
        <w:t xml:space="preserve">Commendation </w:t>
      </w:r>
    </w:p>
    <w:p w14:paraId="1B88EB4A" w14:textId="16BEB05C" w:rsidR="0030552D" w:rsidRPr="0030552D" w:rsidRDefault="0030552D" w:rsidP="0030552D">
      <w:pPr>
        <w:rPr>
          <w:lang w:val="en-GB"/>
        </w:rPr>
      </w:pPr>
      <w:r w:rsidRPr="0030552D">
        <w:rPr>
          <w:b/>
          <w:bCs/>
          <w:lang w:val="en-GB"/>
        </w:rPr>
        <w:t>The panel commends DBS for its comprehensive range of student support services</w:t>
      </w:r>
      <w:r w:rsidRPr="0030552D">
        <w:rPr>
          <w:lang w:val="en-GB"/>
        </w:rPr>
        <w:t>.</w:t>
      </w:r>
    </w:p>
    <w:p w14:paraId="64E3D088" w14:textId="69E4CF21" w:rsidR="00F060AB" w:rsidRPr="0030552D" w:rsidRDefault="00BC1208" w:rsidP="00F060AB">
      <w:pPr>
        <w:rPr>
          <w:rFonts w:eastAsia="Times New Roman" w:cstheme="minorHAnsi"/>
          <w:b/>
          <w:bCs/>
          <w:sz w:val="24"/>
          <w:szCs w:val="24"/>
        </w:rPr>
      </w:pPr>
      <w:r w:rsidRPr="0030552D">
        <w:rPr>
          <w:rFonts w:eastAsia="Times New Roman" w:cstheme="minorHAnsi"/>
          <w:b/>
          <w:bCs/>
          <w:sz w:val="24"/>
          <w:szCs w:val="24"/>
        </w:rPr>
        <w:br w:type="page"/>
      </w:r>
    </w:p>
    <w:p w14:paraId="12C3CD1F" w14:textId="77777777" w:rsidR="00F060AB" w:rsidRPr="003546AE" w:rsidRDefault="00BC1208" w:rsidP="0048373B">
      <w:pPr>
        <w:pStyle w:val="Criterion"/>
        <w:ind w:left="1134" w:hanging="1134"/>
      </w:pPr>
      <w:r w:rsidRPr="003546AE">
        <w:t>The programme is well managed</w:t>
      </w:r>
    </w:p>
    <w:tbl>
      <w:tblPr>
        <w:tblStyle w:val="TableGrid"/>
        <w:tblW w:w="0" w:type="auto"/>
        <w:tblInd w:w="-5" w:type="dxa"/>
        <w:tblLook w:val="04A0" w:firstRow="1" w:lastRow="0" w:firstColumn="1" w:lastColumn="0" w:noHBand="0" w:noVBand="1"/>
      </w:tblPr>
      <w:tblGrid>
        <w:gridCol w:w="2678"/>
        <w:gridCol w:w="1291"/>
        <w:gridCol w:w="5052"/>
      </w:tblGrid>
      <w:tr w:rsidR="00F060AB" w:rsidRPr="003546AE" w14:paraId="087C6F62" w14:textId="77777777" w:rsidTr="00302DC7">
        <w:tc>
          <w:tcPr>
            <w:tcW w:w="9021" w:type="dxa"/>
            <w:gridSpan w:val="3"/>
            <w:shd w:val="clear" w:color="auto" w:fill="D9E2F3" w:themeFill="accent1" w:themeFillTint="33"/>
          </w:tcPr>
          <w:p w14:paraId="7CA0DE52" w14:textId="77777777" w:rsidR="00F060A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F060A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62A410C" w14:textId="77777777" w:rsidR="00F060A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77777777" w:rsidR="00F060AB" w:rsidRPr="003546AE" w:rsidRDefault="00BC1208" w:rsidP="00F060AB">
            <w:pPr>
              <w:numPr>
                <w:ilvl w:val="0"/>
                <w:numId w:val="10"/>
              </w:numPr>
              <w:contextualSpacing/>
              <w:rPr>
                <w:rFonts w:eastAsia="Times New Roman" w:cstheme="minorHAnsi"/>
                <w:sz w:val="20"/>
                <w:szCs w:val="20"/>
              </w:rPr>
            </w:pPr>
            <w:r w:rsidRPr="003546AE">
              <w:rPr>
                <w:rFonts w:eastAsia="Times New Roman" w:cstheme="minorHAnsi"/>
                <w:sz w:val="20"/>
                <w:szCs w:val="20"/>
              </w:rPr>
              <w:t>There are explicit and suitable programme-specific criteria for selecting physical resources that meet the programmes physical resource requirements, and can be added to the programme’s complement of supported physical resources.</w:t>
            </w:r>
          </w:p>
          <w:p w14:paraId="183CBEEC" w14:textId="77777777" w:rsidR="00F060A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4"/>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6D753567" w14:textId="77777777" w:rsidR="00F060AB" w:rsidRPr="003546AE" w:rsidRDefault="00BC1208"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F060AB" w:rsidRPr="003546AE" w:rsidRDefault="00BC1208"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F060AB" w:rsidRPr="003546AE" w:rsidRDefault="00BC1208"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F060AB" w:rsidRPr="003546AE" w:rsidRDefault="00D35F8D" w:rsidP="00302DC7">
            <w:pPr>
              <w:contextualSpacing/>
              <w:rPr>
                <w:rFonts w:eastAsia="Times New Roman" w:cstheme="minorHAnsi"/>
                <w:b/>
              </w:rPr>
            </w:pPr>
          </w:p>
        </w:tc>
      </w:tr>
      <w:tr w:rsidR="00F060AB" w:rsidRPr="003546AE" w14:paraId="015C6E12" w14:textId="77777777" w:rsidTr="00AC46AA">
        <w:tc>
          <w:tcPr>
            <w:tcW w:w="2678" w:type="dxa"/>
            <w:shd w:val="clear" w:color="auto" w:fill="D9E2F3" w:themeFill="accent1" w:themeFillTint="33"/>
          </w:tcPr>
          <w:p w14:paraId="28C9BD7F" w14:textId="5BF0CEF5" w:rsidR="00F060AB" w:rsidRPr="0033092E" w:rsidRDefault="0033092E" w:rsidP="00302DC7">
            <w:pPr>
              <w:contextualSpacing/>
              <w:rPr>
                <w:rFonts w:eastAsia="Times New Roman" w:cstheme="minorHAnsi"/>
                <w:bCs/>
                <w:sz w:val="20"/>
                <w:szCs w:val="20"/>
              </w:rPr>
            </w:pPr>
            <w:r>
              <w:rPr>
                <w:rFonts w:eastAsia="Times New Roman" w:cstheme="minorHAnsi"/>
                <w:b/>
                <w:sz w:val="20"/>
                <w:szCs w:val="20"/>
                <w:lang w:val="ga-IE"/>
              </w:rPr>
              <w:t>Programme</w:t>
            </w:r>
          </w:p>
        </w:tc>
        <w:tc>
          <w:tcPr>
            <w:tcW w:w="1291" w:type="dxa"/>
            <w:shd w:val="clear" w:color="auto" w:fill="D9E2F3" w:themeFill="accent1" w:themeFillTint="33"/>
          </w:tcPr>
          <w:p w14:paraId="5E778222"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052" w:type="dxa"/>
            <w:shd w:val="clear" w:color="auto" w:fill="D9E2F3" w:themeFill="accent1" w:themeFillTint="33"/>
          </w:tcPr>
          <w:p w14:paraId="29C839C1" w14:textId="77777777" w:rsidR="00F060A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AC46AA">
        <w:tc>
          <w:tcPr>
            <w:tcW w:w="2678" w:type="dxa"/>
            <w:shd w:val="clear" w:color="auto" w:fill="FFFFFF" w:themeFill="background1"/>
          </w:tcPr>
          <w:p w14:paraId="16F41543" w14:textId="5A722D9F" w:rsidR="00F060AB" w:rsidRPr="0033092E" w:rsidRDefault="005432C9" w:rsidP="00302DC7">
            <w:pPr>
              <w:contextualSpacing/>
              <w:rPr>
                <w:rFonts w:eastAsia="Times New Roman" w:cstheme="minorHAnsi"/>
                <w:bCs/>
                <w:sz w:val="20"/>
                <w:szCs w:val="20"/>
              </w:rPr>
            </w:pPr>
            <w:r>
              <w:rPr>
                <w:rFonts w:eastAsia="Times New Roman" w:cstheme="minorHAnsi"/>
                <w:bCs/>
                <w:sz w:val="20"/>
                <w:szCs w:val="20"/>
              </w:rPr>
              <w:t>MSc in Health Psychology</w:t>
            </w:r>
          </w:p>
        </w:tc>
        <w:tc>
          <w:tcPr>
            <w:tcW w:w="1291" w:type="dxa"/>
            <w:shd w:val="clear" w:color="auto" w:fill="FFFFFF" w:themeFill="background1"/>
          </w:tcPr>
          <w:p w14:paraId="2CE06AF5" w14:textId="18E038B4" w:rsidR="00F060AB" w:rsidRPr="003546AE" w:rsidRDefault="005432C9"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3326C01F" w14:textId="77777777" w:rsidR="00F060AB" w:rsidRDefault="00D35F8D" w:rsidP="00302DC7">
            <w:pPr>
              <w:contextualSpacing/>
              <w:rPr>
                <w:rFonts w:eastAsia="Times New Roman" w:cstheme="minorHAnsi"/>
                <w:sz w:val="20"/>
                <w:szCs w:val="20"/>
              </w:rPr>
            </w:pPr>
          </w:p>
          <w:p w14:paraId="0A060D13" w14:textId="77777777" w:rsidR="00AC46AA" w:rsidRDefault="00D35F8D" w:rsidP="00302DC7">
            <w:pPr>
              <w:contextualSpacing/>
              <w:rPr>
                <w:rFonts w:eastAsia="Times New Roman" w:cstheme="minorHAnsi"/>
                <w:sz w:val="20"/>
                <w:szCs w:val="20"/>
              </w:rPr>
            </w:pPr>
          </w:p>
          <w:p w14:paraId="49AE5738" w14:textId="77777777" w:rsidR="00AC46AA" w:rsidRDefault="00D35F8D" w:rsidP="00302DC7">
            <w:pPr>
              <w:contextualSpacing/>
              <w:rPr>
                <w:rFonts w:eastAsia="Times New Roman" w:cstheme="minorHAnsi"/>
                <w:sz w:val="20"/>
                <w:szCs w:val="20"/>
              </w:rPr>
            </w:pPr>
          </w:p>
          <w:p w14:paraId="3873F4A6" w14:textId="2530515E" w:rsidR="00AC46AA" w:rsidRPr="003546AE" w:rsidRDefault="00D35F8D" w:rsidP="00302DC7">
            <w:pPr>
              <w:contextualSpacing/>
              <w:rPr>
                <w:rFonts w:eastAsia="Times New Roman" w:cstheme="minorHAnsi"/>
                <w:sz w:val="20"/>
                <w:szCs w:val="20"/>
              </w:rPr>
            </w:pPr>
          </w:p>
        </w:tc>
      </w:tr>
      <w:tr w:rsidR="00F060AB" w:rsidRPr="003546AE" w14:paraId="2705E119" w14:textId="77777777" w:rsidTr="00AC46AA">
        <w:tc>
          <w:tcPr>
            <w:tcW w:w="2678" w:type="dxa"/>
            <w:shd w:val="clear" w:color="auto" w:fill="FFFFFF" w:themeFill="background1"/>
          </w:tcPr>
          <w:p w14:paraId="1610181B" w14:textId="3114B010" w:rsidR="00F060AB" w:rsidRPr="0033092E" w:rsidRDefault="005432C9" w:rsidP="00302DC7">
            <w:pPr>
              <w:contextualSpacing/>
              <w:rPr>
                <w:rFonts w:eastAsia="Times New Roman" w:cstheme="minorHAnsi"/>
                <w:bCs/>
                <w:sz w:val="20"/>
                <w:szCs w:val="20"/>
              </w:rPr>
            </w:pPr>
            <w:r>
              <w:rPr>
                <w:rFonts w:eastAsia="Times New Roman" w:cstheme="minorHAnsi"/>
                <w:bCs/>
                <w:sz w:val="20"/>
                <w:szCs w:val="20"/>
              </w:rPr>
              <w:t>Postgraduate Diploma in Science in Health Psychology</w:t>
            </w:r>
          </w:p>
        </w:tc>
        <w:tc>
          <w:tcPr>
            <w:tcW w:w="1291" w:type="dxa"/>
            <w:shd w:val="clear" w:color="auto" w:fill="FFFFFF" w:themeFill="background1"/>
          </w:tcPr>
          <w:p w14:paraId="02798F57" w14:textId="31C56F35" w:rsidR="00F060AB" w:rsidRPr="003546AE" w:rsidRDefault="005432C9" w:rsidP="00302DC7">
            <w:pPr>
              <w:contextualSpacing/>
              <w:rPr>
                <w:rFonts w:eastAsia="Times New Roman" w:cstheme="minorHAnsi"/>
                <w:sz w:val="20"/>
                <w:szCs w:val="20"/>
              </w:rPr>
            </w:pPr>
            <w:r>
              <w:rPr>
                <w:rFonts w:eastAsia="Times New Roman" w:cstheme="minorHAnsi"/>
                <w:sz w:val="20"/>
                <w:szCs w:val="20"/>
              </w:rPr>
              <w:t>Yes</w:t>
            </w:r>
          </w:p>
        </w:tc>
        <w:tc>
          <w:tcPr>
            <w:tcW w:w="5052" w:type="dxa"/>
            <w:shd w:val="clear" w:color="auto" w:fill="FFFFFF" w:themeFill="background1"/>
          </w:tcPr>
          <w:p w14:paraId="10F77EF1" w14:textId="77777777" w:rsidR="00F060AB" w:rsidRDefault="00D35F8D" w:rsidP="00302DC7">
            <w:pPr>
              <w:contextualSpacing/>
              <w:rPr>
                <w:rFonts w:eastAsia="Times New Roman" w:cstheme="minorHAnsi"/>
                <w:sz w:val="20"/>
                <w:szCs w:val="20"/>
              </w:rPr>
            </w:pPr>
          </w:p>
          <w:p w14:paraId="46D73CD6" w14:textId="77777777" w:rsidR="00AC46AA" w:rsidRDefault="00D35F8D" w:rsidP="00302DC7">
            <w:pPr>
              <w:contextualSpacing/>
              <w:rPr>
                <w:rFonts w:eastAsia="Times New Roman" w:cstheme="minorHAnsi"/>
                <w:sz w:val="20"/>
                <w:szCs w:val="20"/>
              </w:rPr>
            </w:pPr>
          </w:p>
          <w:p w14:paraId="6F9AF80F" w14:textId="77777777" w:rsidR="00AC46AA" w:rsidRDefault="00D35F8D" w:rsidP="00302DC7">
            <w:pPr>
              <w:contextualSpacing/>
              <w:rPr>
                <w:rFonts w:eastAsia="Times New Roman" w:cstheme="minorHAnsi"/>
                <w:sz w:val="20"/>
                <w:szCs w:val="20"/>
              </w:rPr>
            </w:pPr>
          </w:p>
          <w:p w14:paraId="0C7CB3AE" w14:textId="4A45B76F" w:rsidR="00AC46AA" w:rsidRPr="003546AE" w:rsidRDefault="00D35F8D" w:rsidP="00302DC7">
            <w:pPr>
              <w:contextualSpacing/>
              <w:rPr>
                <w:rFonts w:eastAsia="Times New Roman" w:cstheme="minorHAnsi"/>
                <w:sz w:val="20"/>
                <w:szCs w:val="20"/>
              </w:rPr>
            </w:pPr>
          </w:p>
        </w:tc>
      </w:tr>
    </w:tbl>
    <w:p w14:paraId="168409F6" w14:textId="77777777" w:rsidR="00F060AB" w:rsidRPr="003546AE" w:rsidRDefault="00D35F8D" w:rsidP="00F060AB">
      <w:pPr>
        <w:rPr>
          <w:rFonts w:cstheme="minorHAnsi"/>
        </w:rPr>
      </w:pPr>
    </w:p>
    <w:p w14:paraId="2281F4C8" w14:textId="2E4395C3" w:rsidR="005432C9" w:rsidRDefault="005432C9" w:rsidP="005432C9">
      <w:r>
        <w:t xml:space="preserve">The panel were satisfied that there are effective structures in place for the governance and management of the programme under review. The </w:t>
      </w:r>
      <w:r w:rsidR="0061751A">
        <w:t>Quality Assurance Handbook</w:t>
      </w:r>
      <w:r w:rsidR="001F4D33">
        <w:t xml:space="preserve"> </w:t>
      </w:r>
      <w:r w:rsidR="0061751A">
        <w:t>(</w:t>
      </w:r>
      <w:r>
        <w:t>QAH</w:t>
      </w:r>
      <w:r w:rsidR="0061751A">
        <w:t>)</w:t>
      </w:r>
      <w:r>
        <w:t xml:space="preserve"> contains the governance structures for the College and procedures for access, transfer and progression, learner assessments and supports, and teaching and learning.</w:t>
      </w:r>
    </w:p>
    <w:p w14:paraId="627EEB92" w14:textId="3BC3B535" w:rsidR="00F060AB" w:rsidRPr="001221A5" w:rsidRDefault="005432C9" w:rsidP="00F060AB">
      <w:pPr>
        <w:rPr>
          <w:color w:val="2E75B5"/>
        </w:rPr>
      </w:pPr>
      <w:r>
        <w:t xml:space="preserve">It was noted that the QAH and associated policies and procedures have been developed in line with QQI statutory guidelines. </w:t>
      </w:r>
      <w:r w:rsidR="00BC1208" w:rsidRPr="003546AE">
        <w:rPr>
          <w:rFonts w:cstheme="minorHAnsi"/>
        </w:rPr>
        <w:br w:type="page"/>
      </w:r>
    </w:p>
    <w:p w14:paraId="3A202BA3" w14:textId="77777777" w:rsidR="00F060AB" w:rsidRPr="003546AE" w:rsidRDefault="00BC1208" w:rsidP="00F060AB">
      <w:pPr>
        <w:pStyle w:val="Heading1"/>
      </w:pPr>
      <w:r w:rsidRPr="003546AE">
        <w:t xml:space="preserve">Overall </w:t>
      </w:r>
      <w:r w:rsidRPr="00BF7A5C">
        <w:t>recommendation</w:t>
      </w:r>
      <w:r w:rsidRPr="003546AE">
        <w:t xml:space="preserve"> to QQI</w:t>
      </w:r>
    </w:p>
    <w:p w14:paraId="7F36DFC2" w14:textId="1C7ACB55" w:rsidR="00F060AB" w:rsidRPr="003546AE" w:rsidRDefault="0046666D" w:rsidP="00F060AB">
      <w:pPr>
        <w:pStyle w:val="Heading2"/>
        <w:rPr>
          <w:rFonts w:eastAsia="Times New Roman"/>
          <w:noProof/>
        </w:rPr>
      </w:pPr>
      <w:r>
        <w:t xml:space="preserve">MSc in Health </w:t>
      </w:r>
      <w:r w:rsidR="002D0DEB">
        <w:t>Psychology</w:t>
      </w:r>
      <w:r w:rsidR="00BC1208" w:rsidRPr="003546AE">
        <w:t xml:space="preserve">: </w:t>
      </w:r>
      <w:r w:rsidR="00653E0B">
        <w:fldChar w:fldCharType="begin"/>
      </w:r>
      <w:r w:rsidR="00653E0B">
        <w:instrText xml:space="preserve"> MERGEFIELD Principal_Title </w:instrText>
      </w:r>
      <w:r w:rsidR="00653E0B">
        <w:fldChar w:fldCharType="end"/>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302DC7">
        <w:tc>
          <w:tcPr>
            <w:tcW w:w="1838" w:type="dxa"/>
          </w:tcPr>
          <w:p w14:paraId="7733039E" w14:textId="77777777" w:rsidR="00F060AB" w:rsidRPr="003546AE" w:rsidRDefault="00BC1208" w:rsidP="00302DC7">
            <w:pPr>
              <w:rPr>
                <w:rFonts w:cstheme="minorHAnsi"/>
              </w:rPr>
            </w:pPr>
            <w:r w:rsidRPr="003546AE">
              <w:rPr>
                <w:rFonts w:cstheme="minorHAnsi"/>
              </w:rPr>
              <w:t>Select one</w:t>
            </w:r>
          </w:p>
        </w:tc>
        <w:tc>
          <w:tcPr>
            <w:tcW w:w="7178" w:type="dxa"/>
          </w:tcPr>
          <w:p w14:paraId="7B1EC532" w14:textId="77777777" w:rsidR="00F060AB" w:rsidRPr="003546AE" w:rsidRDefault="00D35F8D" w:rsidP="00302DC7">
            <w:pPr>
              <w:rPr>
                <w:rFonts w:cstheme="minorHAnsi"/>
              </w:rPr>
            </w:pPr>
          </w:p>
        </w:tc>
      </w:tr>
      <w:tr w:rsidR="00F060AB" w:rsidRPr="003546AE" w14:paraId="7C663B77" w14:textId="77777777" w:rsidTr="00302DC7">
        <w:tc>
          <w:tcPr>
            <w:tcW w:w="1838" w:type="dxa"/>
          </w:tcPr>
          <w:p w14:paraId="5B3ECADC" w14:textId="77777777" w:rsidR="00F060AB" w:rsidRPr="003546AE" w:rsidRDefault="00D35F8D" w:rsidP="00302DC7">
            <w:pPr>
              <w:rPr>
                <w:rFonts w:cstheme="minorHAnsi"/>
              </w:rPr>
            </w:pPr>
          </w:p>
        </w:tc>
        <w:tc>
          <w:tcPr>
            <w:tcW w:w="7178" w:type="dxa"/>
          </w:tcPr>
          <w:p w14:paraId="12F92DFF" w14:textId="77777777" w:rsidR="00F060AB" w:rsidRPr="003546AE" w:rsidRDefault="00BC1208" w:rsidP="00302DC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302DC7">
        <w:tc>
          <w:tcPr>
            <w:tcW w:w="1838" w:type="dxa"/>
          </w:tcPr>
          <w:p w14:paraId="79044E65" w14:textId="335DDC69" w:rsidR="0046666D" w:rsidRPr="0046666D" w:rsidRDefault="0046666D" w:rsidP="0046666D">
            <w:pPr>
              <w:rPr>
                <w:rFonts w:cstheme="minorHAnsi"/>
              </w:rPr>
            </w:pPr>
            <w:r>
              <w:rPr>
                <w:rFonts w:cstheme="minorHAnsi"/>
              </w:rPr>
              <w:t>Satisfactory subject to conditions set</w:t>
            </w:r>
          </w:p>
        </w:tc>
        <w:tc>
          <w:tcPr>
            <w:tcW w:w="7178" w:type="dxa"/>
          </w:tcPr>
          <w:p w14:paraId="354076CC" w14:textId="64652354" w:rsidR="00F060AB" w:rsidRPr="003546AE" w:rsidRDefault="00BC1208" w:rsidP="00302DC7">
            <w:pPr>
              <w:rPr>
                <w:rFonts w:cstheme="minorHAnsi"/>
              </w:rPr>
            </w:pPr>
            <w:r w:rsidRPr="003546AE">
              <w:rPr>
                <w:rFonts w:cstheme="minorHAnsi"/>
              </w:rPr>
              <w:t xml:space="preserve">Satisfactory subject to proposed special conditions (specified with timescale for compliance for each condition; these may include proposed pre-validation conditions </w:t>
            </w:r>
            <w:r w:rsidR="00C54284" w:rsidRPr="003546AE">
              <w:rPr>
                <w:rFonts w:cstheme="minorHAnsi"/>
              </w:rPr>
              <w:t>i.e.,</w:t>
            </w:r>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5B6FE686" w14:textId="77777777" w:rsidTr="00302DC7">
        <w:tc>
          <w:tcPr>
            <w:tcW w:w="1838" w:type="dxa"/>
          </w:tcPr>
          <w:p w14:paraId="5ADED49B" w14:textId="77777777" w:rsidR="00F060AB" w:rsidRPr="003546AE" w:rsidRDefault="00D35F8D" w:rsidP="00302DC7">
            <w:pPr>
              <w:jc w:val="center"/>
              <w:rPr>
                <w:rFonts w:cstheme="minorHAnsi"/>
                <w:b/>
              </w:rPr>
            </w:pPr>
          </w:p>
        </w:tc>
        <w:tc>
          <w:tcPr>
            <w:tcW w:w="7178" w:type="dxa"/>
          </w:tcPr>
          <w:p w14:paraId="318F244A" w14:textId="77777777" w:rsidR="00F060AB" w:rsidRPr="003546AE" w:rsidRDefault="00BC1208" w:rsidP="00302DC7">
            <w:pPr>
              <w:rPr>
                <w:rFonts w:cstheme="minorHAnsi"/>
              </w:rPr>
            </w:pPr>
            <w:r w:rsidRPr="003546AE">
              <w:rPr>
                <w:rFonts w:cstheme="minorHAnsi"/>
              </w:rPr>
              <w:t>Not satisfactory.</w:t>
            </w:r>
          </w:p>
        </w:tc>
      </w:tr>
    </w:tbl>
    <w:p w14:paraId="6EEB92FF" w14:textId="77777777" w:rsidR="00F060AB" w:rsidRPr="003546AE" w:rsidRDefault="00D35F8D" w:rsidP="00F060AB"/>
    <w:p w14:paraId="5E732530" w14:textId="77777777" w:rsidR="00F060AB" w:rsidRPr="003546AE" w:rsidRDefault="00BC1208" w:rsidP="00F060AB">
      <w:pPr>
        <w:pStyle w:val="Heading3"/>
      </w:pPr>
      <w:r w:rsidRPr="00BF7A5C">
        <w:t>Reasons</w:t>
      </w:r>
      <w:r w:rsidRPr="003546AE">
        <w:t xml:space="preserve"> for the </w:t>
      </w:r>
      <w:r w:rsidRPr="00BF7A5C">
        <w:t>overall</w:t>
      </w:r>
      <w:r w:rsidRPr="003546AE">
        <w:t xml:space="preserve"> recommendation</w:t>
      </w:r>
    </w:p>
    <w:p w14:paraId="026699A7" w14:textId="56B6F677" w:rsidR="00F060AB" w:rsidRPr="003546AE" w:rsidRDefault="0046666D" w:rsidP="00F060AB">
      <w:pPr>
        <w:pStyle w:val="ListParagraph"/>
        <w:numPr>
          <w:ilvl w:val="0"/>
          <w:numId w:val="21"/>
        </w:numPr>
        <w:rPr>
          <w:rFonts w:cstheme="minorHAnsi"/>
        </w:rPr>
      </w:pPr>
      <w:r>
        <w:rPr>
          <w:rFonts w:cstheme="minorHAnsi"/>
        </w:rPr>
        <w:t>The criteria have been met subject to conditions set.</w:t>
      </w:r>
    </w:p>
    <w:p w14:paraId="35214EC5" w14:textId="77777777" w:rsidR="00F060AB" w:rsidRPr="003546AE" w:rsidRDefault="00BC1208" w:rsidP="00F060AB">
      <w:pPr>
        <w:pStyle w:val="Heading3"/>
      </w:pPr>
      <w:r w:rsidRPr="00BF7A5C">
        <w:t>Commendations</w:t>
      </w:r>
    </w:p>
    <w:p w14:paraId="419F259B" w14:textId="77777777" w:rsidR="0046666D" w:rsidRPr="0046666D" w:rsidRDefault="0046666D" w:rsidP="0046666D">
      <w:pPr>
        <w:pStyle w:val="ListParagraph"/>
        <w:numPr>
          <w:ilvl w:val="0"/>
          <w:numId w:val="22"/>
        </w:numPr>
        <w:rPr>
          <w:lang w:val="en-GB"/>
        </w:rPr>
      </w:pPr>
      <w:r w:rsidRPr="0046666D">
        <w:rPr>
          <w:lang w:val="en-GB"/>
        </w:rPr>
        <w:t>The panel commends DBS for its industry links and networks, including the DBS Industry Advisory Board for Human and Social Sciences.</w:t>
      </w:r>
    </w:p>
    <w:p w14:paraId="11728B5F" w14:textId="77777777" w:rsidR="0046666D" w:rsidRPr="0046666D" w:rsidRDefault="0046666D" w:rsidP="0046666D">
      <w:pPr>
        <w:pStyle w:val="ListParagraph"/>
        <w:numPr>
          <w:ilvl w:val="0"/>
          <w:numId w:val="22"/>
        </w:numPr>
        <w:rPr>
          <w:lang w:val="en-GB"/>
        </w:rPr>
      </w:pPr>
      <w:r w:rsidRPr="0046666D">
        <w:rPr>
          <w:lang w:val="en-GB"/>
        </w:rPr>
        <w:t>The panel commends DBS for its comprehensive range of student support services.</w:t>
      </w:r>
    </w:p>
    <w:p w14:paraId="59D7B0C3" w14:textId="77777777" w:rsidR="00F060AB" w:rsidRPr="003546AE" w:rsidRDefault="00D35F8D" w:rsidP="0046666D">
      <w:pPr>
        <w:pStyle w:val="ListParagraph"/>
        <w:rPr>
          <w:rFonts w:cstheme="minorHAnsi"/>
        </w:rPr>
      </w:pPr>
    </w:p>
    <w:p w14:paraId="42A50779" w14:textId="77777777" w:rsidR="00F060AB" w:rsidRPr="003546AE" w:rsidRDefault="00BC1208" w:rsidP="00F060AB">
      <w:pPr>
        <w:pStyle w:val="Heading3"/>
      </w:pPr>
      <w:r w:rsidRPr="003546AE">
        <w:t>Special Conditions of Validation (directive and with timescale for compliance)</w:t>
      </w:r>
    </w:p>
    <w:p w14:paraId="3A143BC4" w14:textId="77777777" w:rsidR="0046666D" w:rsidRPr="0046666D" w:rsidRDefault="0046666D" w:rsidP="007A3DD8">
      <w:pPr>
        <w:pStyle w:val="ListParagraph"/>
        <w:numPr>
          <w:ilvl w:val="0"/>
          <w:numId w:val="24"/>
        </w:numPr>
        <w:rPr>
          <w:lang w:val="en-GB"/>
        </w:rPr>
      </w:pPr>
      <w:r w:rsidRPr="0046666D">
        <w:rPr>
          <w:lang w:val="en-GB"/>
        </w:rPr>
        <w:t>It is a condition that, prior to the commencement of this programme. the Course Leader/Director must be a registered/chartered Health Psychologist.</w:t>
      </w:r>
    </w:p>
    <w:p w14:paraId="73CA967E" w14:textId="139FC71F" w:rsidR="00F060AB" w:rsidRPr="00CA03C1" w:rsidRDefault="0046666D" w:rsidP="00F060AB">
      <w:pPr>
        <w:pStyle w:val="ListParagraph"/>
        <w:numPr>
          <w:ilvl w:val="0"/>
          <w:numId w:val="24"/>
        </w:numPr>
        <w:rPr>
          <w:lang w:val="en-GB"/>
        </w:rPr>
      </w:pPr>
      <w:r w:rsidRPr="0046666D">
        <w:rPr>
          <w:lang w:val="en-GB"/>
        </w:rPr>
        <w:t>It is a condition that research project supervisors have a minimum qualification at Master’s level.</w:t>
      </w:r>
    </w:p>
    <w:p w14:paraId="3DFC45FA" w14:textId="33D32123" w:rsidR="00F060AB" w:rsidRPr="003546AE" w:rsidRDefault="0046666D" w:rsidP="00F060AB">
      <w:pPr>
        <w:pStyle w:val="Heading2"/>
        <w:numPr>
          <w:ilvl w:val="0"/>
          <w:numId w:val="0"/>
        </w:numPr>
      </w:pPr>
      <w:r>
        <w:t xml:space="preserve">Postgraduate Diploma in Science in Health </w:t>
      </w:r>
      <w:r w:rsidR="002D0DEB">
        <w:t>Psychology</w:t>
      </w:r>
      <w:r w:rsidR="00BC1208" w:rsidRPr="003546AE">
        <w:t xml:space="preserve">: </w:t>
      </w:r>
      <w:r w:rsidR="00857E00">
        <w:fldChar w:fldCharType="begin"/>
      </w:r>
      <w:r w:rsidR="00857E00">
        <w:instrText xml:space="preserve"> MERGEFIELD Embedded_Title </w:instrText>
      </w:r>
      <w:r w:rsidR="00857E00">
        <w:fldChar w:fldCharType="end"/>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302DC7">
        <w:tc>
          <w:tcPr>
            <w:tcW w:w="1838" w:type="dxa"/>
          </w:tcPr>
          <w:p w14:paraId="1215585F" w14:textId="77777777" w:rsidR="00F060AB" w:rsidRPr="003546AE" w:rsidRDefault="00BC1208" w:rsidP="00302DC7">
            <w:pPr>
              <w:rPr>
                <w:rFonts w:cstheme="minorHAnsi"/>
              </w:rPr>
            </w:pPr>
            <w:r w:rsidRPr="003546AE">
              <w:rPr>
                <w:rFonts w:cstheme="minorHAnsi"/>
              </w:rPr>
              <w:t>Select one</w:t>
            </w:r>
          </w:p>
        </w:tc>
        <w:tc>
          <w:tcPr>
            <w:tcW w:w="7178" w:type="dxa"/>
          </w:tcPr>
          <w:p w14:paraId="57EBF21A" w14:textId="77777777" w:rsidR="00F060AB" w:rsidRPr="003546AE" w:rsidRDefault="00D35F8D" w:rsidP="00302DC7">
            <w:pPr>
              <w:rPr>
                <w:rFonts w:cstheme="minorHAnsi"/>
              </w:rPr>
            </w:pPr>
          </w:p>
        </w:tc>
      </w:tr>
      <w:tr w:rsidR="00F060AB" w:rsidRPr="003546AE" w14:paraId="07351211" w14:textId="77777777" w:rsidTr="00302DC7">
        <w:tc>
          <w:tcPr>
            <w:tcW w:w="1838" w:type="dxa"/>
          </w:tcPr>
          <w:p w14:paraId="363852C2" w14:textId="77777777" w:rsidR="00F060AB" w:rsidRPr="003546AE" w:rsidRDefault="00D35F8D" w:rsidP="00302DC7">
            <w:pPr>
              <w:rPr>
                <w:rFonts w:cstheme="minorHAnsi"/>
              </w:rPr>
            </w:pPr>
          </w:p>
        </w:tc>
        <w:tc>
          <w:tcPr>
            <w:tcW w:w="7178" w:type="dxa"/>
          </w:tcPr>
          <w:p w14:paraId="29CBB6EB" w14:textId="77777777" w:rsidR="00F060AB" w:rsidRPr="003546AE" w:rsidRDefault="00BC1208" w:rsidP="00302DC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302DC7">
        <w:tc>
          <w:tcPr>
            <w:tcW w:w="1838" w:type="dxa"/>
          </w:tcPr>
          <w:p w14:paraId="1A02CE99" w14:textId="77109FEE" w:rsidR="00F060AB" w:rsidRPr="003546AE" w:rsidRDefault="0046666D" w:rsidP="00302DC7">
            <w:pPr>
              <w:rPr>
                <w:rFonts w:cstheme="minorHAnsi"/>
              </w:rPr>
            </w:pPr>
            <w:r>
              <w:rPr>
                <w:rFonts w:cstheme="minorHAnsi"/>
              </w:rPr>
              <w:t>Satisfactory subject to condition set</w:t>
            </w:r>
          </w:p>
        </w:tc>
        <w:tc>
          <w:tcPr>
            <w:tcW w:w="7178" w:type="dxa"/>
          </w:tcPr>
          <w:p w14:paraId="78BC94CD" w14:textId="1270A76C" w:rsidR="00F060AB" w:rsidRPr="003546AE" w:rsidRDefault="00BC1208" w:rsidP="00302DC7">
            <w:pPr>
              <w:rPr>
                <w:rFonts w:cstheme="minorHAnsi"/>
              </w:rPr>
            </w:pPr>
            <w:r w:rsidRPr="003546AE">
              <w:rPr>
                <w:rFonts w:cstheme="minorHAnsi"/>
              </w:rPr>
              <w:t xml:space="preserve">Satisfactory subject to proposed special conditions (specified with timescale for compliance for each condition; these may include proposed pre-validation conditions </w:t>
            </w:r>
            <w:r w:rsidR="00C54284" w:rsidRPr="003546AE">
              <w:rPr>
                <w:rFonts w:cstheme="minorHAnsi"/>
              </w:rPr>
              <w:t>i.e.,</w:t>
            </w:r>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0D2FD233" w14:textId="77777777" w:rsidTr="00302DC7">
        <w:tc>
          <w:tcPr>
            <w:tcW w:w="1838" w:type="dxa"/>
          </w:tcPr>
          <w:p w14:paraId="68175151" w14:textId="77777777" w:rsidR="00F060AB" w:rsidRPr="003546AE" w:rsidRDefault="00D35F8D" w:rsidP="00302DC7">
            <w:pPr>
              <w:jc w:val="center"/>
              <w:rPr>
                <w:rFonts w:cstheme="minorHAnsi"/>
                <w:b/>
              </w:rPr>
            </w:pPr>
          </w:p>
        </w:tc>
        <w:tc>
          <w:tcPr>
            <w:tcW w:w="7178" w:type="dxa"/>
          </w:tcPr>
          <w:p w14:paraId="61978756" w14:textId="77777777" w:rsidR="00F060AB" w:rsidRPr="003546AE" w:rsidRDefault="00BC1208" w:rsidP="00302DC7">
            <w:pPr>
              <w:rPr>
                <w:rFonts w:cstheme="minorHAnsi"/>
              </w:rPr>
            </w:pPr>
            <w:r w:rsidRPr="003546AE">
              <w:rPr>
                <w:rFonts w:cstheme="minorHAnsi"/>
              </w:rPr>
              <w:t>Not satisfactory.</w:t>
            </w:r>
          </w:p>
        </w:tc>
      </w:tr>
    </w:tbl>
    <w:p w14:paraId="7E9FADD7" w14:textId="77777777" w:rsidR="00F060AB" w:rsidRPr="003546AE" w:rsidRDefault="00D35F8D" w:rsidP="00F060AB"/>
    <w:p w14:paraId="4EDCFD9A" w14:textId="77777777" w:rsidR="00F060AB" w:rsidRPr="003546AE" w:rsidRDefault="00BC1208" w:rsidP="00F060AB">
      <w:pPr>
        <w:pStyle w:val="Heading3"/>
      </w:pPr>
      <w:r w:rsidRPr="003546AE">
        <w:t>Reasons for the overall recommendation</w:t>
      </w:r>
    </w:p>
    <w:p w14:paraId="0EF9D763" w14:textId="57383F50" w:rsidR="00F060AB" w:rsidRPr="003546AE" w:rsidRDefault="0046666D" w:rsidP="00F060AB">
      <w:pPr>
        <w:pStyle w:val="ListParagraph"/>
        <w:numPr>
          <w:ilvl w:val="0"/>
          <w:numId w:val="23"/>
        </w:numPr>
        <w:rPr>
          <w:rFonts w:cstheme="minorHAnsi"/>
        </w:rPr>
      </w:pPr>
      <w:r>
        <w:rPr>
          <w:rFonts w:cstheme="minorHAnsi"/>
        </w:rPr>
        <w:t>The criteria have been met, subject to condition set.</w:t>
      </w:r>
    </w:p>
    <w:p w14:paraId="21C8ADA9" w14:textId="77777777" w:rsidR="00F060AB" w:rsidRPr="003546AE" w:rsidRDefault="00BC1208" w:rsidP="00F060AB">
      <w:pPr>
        <w:pStyle w:val="Heading3"/>
      </w:pPr>
      <w:r w:rsidRPr="003546AE">
        <w:t>Commendations</w:t>
      </w:r>
    </w:p>
    <w:p w14:paraId="5F6078AD" w14:textId="77777777" w:rsidR="002D0DEB" w:rsidRPr="0046666D" w:rsidRDefault="002D0DEB" w:rsidP="007A3DD8">
      <w:pPr>
        <w:pStyle w:val="ListParagraph"/>
        <w:numPr>
          <w:ilvl w:val="0"/>
          <w:numId w:val="25"/>
        </w:numPr>
        <w:rPr>
          <w:lang w:val="en-GB"/>
        </w:rPr>
      </w:pPr>
      <w:r w:rsidRPr="0046666D">
        <w:rPr>
          <w:lang w:val="en-GB"/>
        </w:rPr>
        <w:t>The panel commends DBS for its industry links and networks, including the DBS Industry Advisory Board for Human and Social Sciences.</w:t>
      </w:r>
    </w:p>
    <w:p w14:paraId="13025CD1" w14:textId="77777777" w:rsidR="002D0DEB" w:rsidRPr="0046666D" w:rsidRDefault="002D0DEB" w:rsidP="007A3DD8">
      <w:pPr>
        <w:pStyle w:val="ListParagraph"/>
        <w:numPr>
          <w:ilvl w:val="0"/>
          <w:numId w:val="25"/>
        </w:numPr>
        <w:rPr>
          <w:lang w:val="en-GB"/>
        </w:rPr>
      </w:pPr>
      <w:r w:rsidRPr="0046666D">
        <w:rPr>
          <w:lang w:val="en-GB"/>
        </w:rPr>
        <w:t>The panel commends DBS for its comprehensive range of student support services.</w:t>
      </w:r>
    </w:p>
    <w:p w14:paraId="2ABAE4D1" w14:textId="77777777" w:rsidR="00F060AB" w:rsidRPr="002D0DEB" w:rsidRDefault="00D35F8D" w:rsidP="002D0DEB">
      <w:pPr>
        <w:ind w:left="360"/>
        <w:rPr>
          <w:rFonts w:cstheme="minorHAnsi"/>
        </w:rPr>
      </w:pPr>
    </w:p>
    <w:p w14:paraId="5EE8F726" w14:textId="77777777" w:rsidR="00F060AB" w:rsidRPr="003546AE" w:rsidRDefault="00BC1208" w:rsidP="00F060AB">
      <w:pPr>
        <w:pStyle w:val="Heading3"/>
      </w:pPr>
      <w:r w:rsidRPr="003546AE">
        <w:t>Special Conditions of Validation (directive and with timescale for compliance)</w:t>
      </w:r>
    </w:p>
    <w:p w14:paraId="2A5E42C0" w14:textId="521D6E4F" w:rsidR="00F060AB" w:rsidRPr="003546AE" w:rsidRDefault="002D0DEB" w:rsidP="007A3DD8">
      <w:pPr>
        <w:pStyle w:val="ListParagraph"/>
        <w:numPr>
          <w:ilvl w:val="0"/>
          <w:numId w:val="26"/>
        </w:numPr>
        <w:rPr>
          <w:rFonts w:cstheme="minorHAnsi"/>
        </w:rPr>
      </w:pPr>
      <w:r w:rsidRPr="0046666D">
        <w:rPr>
          <w:lang w:val="en-GB"/>
        </w:rPr>
        <w:t>It is a condition that, prior to the commencement of this programme. the Course Leader/Director must be a registered/chartered Health Psychologist</w:t>
      </w:r>
      <w:r w:rsidR="00666501">
        <w:rPr>
          <w:lang w:val="en-GB"/>
        </w:rPr>
        <w:t>.</w:t>
      </w:r>
    </w:p>
    <w:p w14:paraId="7D338056" w14:textId="0121FACD" w:rsidR="00F060AB" w:rsidRPr="003546AE" w:rsidRDefault="00D35F8D" w:rsidP="00F060AB">
      <w:pPr>
        <w:rPr>
          <w:rFonts w:asciiTheme="majorHAnsi" w:eastAsiaTheme="majorEastAsia" w:hAnsiTheme="majorHAnsi" w:cstheme="majorBidi"/>
          <w:b/>
          <w:bCs/>
          <w:color w:val="2F5496" w:themeColor="accent1" w:themeShade="BF"/>
          <w:sz w:val="26"/>
          <w:szCs w:val="26"/>
        </w:rPr>
      </w:pPr>
    </w:p>
    <w:p w14:paraId="384EA664" w14:textId="77777777" w:rsidR="00F060AB" w:rsidRPr="003546AE" w:rsidRDefault="00BC1208" w:rsidP="00F060AB">
      <w:pPr>
        <w:pStyle w:val="Heading2"/>
        <w:numPr>
          <w:ilvl w:val="0"/>
          <w:numId w:val="0"/>
        </w:numPr>
      </w:pPr>
      <w:r w:rsidRPr="003546AE">
        <w:t>Summary of recommended special conditions of validation</w:t>
      </w:r>
    </w:p>
    <w:p w14:paraId="38D397F3" w14:textId="77777777" w:rsidR="002D0DEB" w:rsidRPr="0046666D" w:rsidRDefault="002D0DEB" w:rsidP="007A3DD8">
      <w:pPr>
        <w:pStyle w:val="ListParagraph"/>
        <w:numPr>
          <w:ilvl w:val="0"/>
          <w:numId w:val="34"/>
        </w:numPr>
        <w:rPr>
          <w:lang w:val="en-GB"/>
        </w:rPr>
      </w:pPr>
      <w:r w:rsidRPr="0046666D">
        <w:rPr>
          <w:lang w:val="en-GB"/>
        </w:rPr>
        <w:t>It is a condition that, prior to the commencement of this programme. the Course Leader/Director must be a registered/chartered Health Psychologist.</w:t>
      </w:r>
    </w:p>
    <w:p w14:paraId="3692D3AC" w14:textId="112A4BC9" w:rsidR="00F060AB" w:rsidRPr="0072068F" w:rsidRDefault="002D0DEB" w:rsidP="00F060AB">
      <w:pPr>
        <w:pStyle w:val="ListParagraph"/>
        <w:numPr>
          <w:ilvl w:val="0"/>
          <w:numId w:val="34"/>
        </w:numPr>
        <w:rPr>
          <w:lang w:val="en-GB"/>
        </w:rPr>
      </w:pPr>
      <w:r w:rsidRPr="0046666D">
        <w:rPr>
          <w:lang w:val="en-GB"/>
        </w:rPr>
        <w:t>It is a condition that research project supervisors have a minimum qualification at Master’s level.</w:t>
      </w:r>
    </w:p>
    <w:p w14:paraId="39CF4693" w14:textId="77777777" w:rsidR="00F060AB" w:rsidRPr="003546AE" w:rsidRDefault="00BC1208" w:rsidP="00F060AB">
      <w:pPr>
        <w:pStyle w:val="Heading2"/>
        <w:numPr>
          <w:ilvl w:val="0"/>
          <w:numId w:val="0"/>
        </w:numPr>
      </w:pPr>
      <w:r w:rsidRPr="003546AE">
        <w:t>Summary of recommendations to the provider</w:t>
      </w:r>
    </w:p>
    <w:p w14:paraId="590B8AC9" w14:textId="77777777" w:rsidR="002D0DEB" w:rsidRPr="00F91CD3" w:rsidRDefault="002D0DEB" w:rsidP="007A3DD8">
      <w:pPr>
        <w:pStyle w:val="ListParagraph"/>
        <w:numPr>
          <w:ilvl w:val="0"/>
          <w:numId w:val="35"/>
        </w:numPr>
        <w:spacing w:line="256" w:lineRule="auto"/>
        <w:rPr>
          <w:lang w:val="en-GB"/>
        </w:rPr>
      </w:pPr>
      <w:r w:rsidRPr="00F91CD3">
        <w:rPr>
          <w:lang w:val="en-GB"/>
        </w:rPr>
        <w:t>It is recommended that DBS consider changing or removing the word ‘protests’ in MIMLO 5.5.</w:t>
      </w:r>
    </w:p>
    <w:p w14:paraId="2A7B6B76" w14:textId="77777777" w:rsidR="00521B73" w:rsidRPr="00521B73" w:rsidRDefault="00521B73" w:rsidP="00521B73">
      <w:pPr>
        <w:pStyle w:val="ListParagraph"/>
        <w:numPr>
          <w:ilvl w:val="0"/>
          <w:numId w:val="35"/>
        </w:numPr>
        <w:rPr>
          <w:b/>
          <w:bCs/>
          <w:lang w:val="en-GB"/>
        </w:rPr>
      </w:pPr>
      <w:r w:rsidRPr="00521B73">
        <w:rPr>
          <w:b/>
          <w:bCs/>
          <w:lang w:val="en-GB"/>
        </w:rPr>
        <w:t>It is recommended that DBS outlines all potential employment opportunities available for qualified Health Psychologists more explicitly in the programme document.</w:t>
      </w:r>
    </w:p>
    <w:p w14:paraId="4090CFD3" w14:textId="77777777" w:rsidR="002D0DEB" w:rsidRPr="00F91CD3" w:rsidRDefault="002D0DEB" w:rsidP="007A3DD8">
      <w:pPr>
        <w:pStyle w:val="ListParagraph"/>
        <w:numPr>
          <w:ilvl w:val="0"/>
          <w:numId w:val="35"/>
        </w:numPr>
        <w:spacing w:line="256" w:lineRule="auto"/>
        <w:rPr>
          <w:lang w:val="en-GB"/>
        </w:rPr>
      </w:pPr>
      <w:r w:rsidRPr="00F91CD3">
        <w:rPr>
          <w:lang w:val="en-GB"/>
        </w:rPr>
        <w:t>It is recommended that DBS ensure that there is clarity around the policy on progression from the taught elements of the course to the dissertation.</w:t>
      </w:r>
    </w:p>
    <w:p w14:paraId="0E81B3A9" w14:textId="77777777" w:rsidR="002D0DEB" w:rsidRPr="00F91CD3" w:rsidRDefault="002D0DEB" w:rsidP="007A3DD8">
      <w:pPr>
        <w:pStyle w:val="ListParagraph"/>
        <w:numPr>
          <w:ilvl w:val="0"/>
          <w:numId w:val="35"/>
        </w:numPr>
        <w:spacing w:line="256" w:lineRule="auto"/>
        <w:rPr>
          <w:lang w:val="en-GB"/>
        </w:rPr>
      </w:pPr>
      <w:r w:rsidRPr="00F91CD3">
        <w:rPr>
          <w:lang w:val="en-GB"/>
        </w:rPr>
        <w:t>It is recommended that DBS ensure that there is effective communication between faculty to avoid duplication of content across modules; to identify opportunities for shared learning and the inclusion of new developments, e.g., healthcare worker stress.</w:t>
      </w:r>
    </w:p>
    <w:p w14:paraId="20D6245A" w14:textId="1E4CE650" w:rsidR="002D0DEB" w:rsidRPr="00F91CD3" w:rsidRDefault="002D0DEB" w:rsidP="007A3DD8">
      <w:pPr>
        <w:pStyle w:val="ListParagraph"/>
        <w:numPr>
          <w:ilvl w:val="0"/>
          <w:numId w:val="35"/>
        </w:numPr>
        <w:spacing w:line="256" w:lineRule="auto"/>
        <w:rPr>
          <w:lang w:val="en-GB"/>
        </w:rPr>
      </w:pPr>
      <w:r w:rsidRPr="00F91CD3">
        <w:rPr>
          <w:lang w:val="en-GB"/>
        </w:rPr>
        <w:t xml:space="preserve">It is recommended that DBS consider a formal strategy for professional </w:t>
      </w:r>
      <w:r w:rsidR="00CA03C1">
        <w:rPr>
          <w:lang w:val="en-GB"/>
        </w:rPr>
        <w:t>Health Psychology</w:t>
      </w:r>
      <w:r w:rsidRPr="00F91CD3">
        <w:rPr>
          <w:lang w:val="en-GB"/>
        </w:rPr>
        <w:t xml:space="preserve"> accreditation </w:t>
      </w:r>
      <w:r w:rsidR="0072068F">
        <w:rPr>
          <w:lang w:val="en-GB"/>
        </w:rPr>
        <w:t>to enhance</w:t>
      </w:r>
      <w:r w:rsidRPr="00F91CD3">
        <w:rPr>
          <w:lang w:val="en-GB"/>
        </w:rPr>
        <w:t xml:space="preserve"> the programme and staff development.</w:t>
      </w:r>
    </w:p>
    <w:p w14:paraId="523D4EE3" w14:textId="004958B0" w:rsidR="002D0DEB" w:rsidRPr="00F91CD3" w:rsidRDefault="002D0DEB" w:rsidP="007A3DD8">
      <w:pPr>
        <w:pStyle w:val="ListParagraph"/>
        <w:numPr>
          <w:ilvl w:val="0"/>
          <w:numId w:val="35"/>
        </w:numPr>
        <w:spacing w:line="256" w:lineRule="auto"/>
        <w:rPr>
          <w:lang w:val="en-GB"/>
        </w:rPr>
      </w:pPr>
      <w:r w:rsidRPr="00F91CD3">
        <w:rPr>
          <w:lang w:val="en-GB"/>
        </w:rPr>
        <w:t xml:space="preserve">It is recommended that DBS considers timely acquisition of core journals that are specific to </w:t>
      </w:r>
      <w:r w:rsidR="00CA03C1">
        <w:rPr>
          <w:lang w:val="en-GB"/>
        </w:rPr>
        <w:t>Health Psychology</w:t>
      </w:r>
      <w:r w:rsidRPr="00F91CD3">
        <w:rPr>
          <w:lang w:val="en-GB"/>
        </w:rPr>
        <w:t xml:space="preserve"> before the programme commences.  This is in addition to the programme reading list</w:t>
      </w:r>
      <w:r w:rsidR="00CA03C1">
        <w:rPr>
          <w:lang w:val="en-GB"/>
        </w:rPr>
        <w:t>s</w:t>
      </w:r>
      <w:r w:rsidRPr="00F91CD3">
        <w:rPr>
          <w:lang w:val="en-GB"/>
        </w:rPr>
        <w:t xml:space="preserve"> which should be regularly reviewed to ensure that </w:t>
      </w:r>
      <w:r w:rsidR="00CA03C1">
        <w:rPr>
          <w:lang w:val="en-GB"/>
        </w:rPr>
        <w:t>they are</w:t>
      </w:r>
      <w:r w:rsidRPr="00F91CD3">
        <w:rPr>
          <w:lang w:val="en-GB"/>
        </w:rPr>
        <w:t xml:space="preserve"> current and reflect contemporary research.</w:t>
      </w:r>
    </w:p>
    <w:p w14:paraId="15082B2A" w14:textId="77777777" w:rsidR="002D0DEB" w:rsidRPr="00F91CD3" w:rsidRDefault="002D0DEB" w:rsidP="007A3DD8">
      <w:pPr>
        <w:pStyle w:val="ListParagraph"/>
        <w:numPr>
          <w:ilvl w:val="0"/>
          <w:numId w:val="35"/>
        </w:numPr>
        <w:spacing w:line="256" w:lineRule="auto"/>
        <w:rPr>
          <w:lang w:val="en-GB"/>
        </w:rPr>
      </w:pPr>
      <w:r w:rsidRPr="00F91CD3">
        <w:rPr>
          <w:lang w:val="en-GB"/>
        </w:rPr>
        <w:t>It is recommended that DBS consider that all reading lists are in the appropriate APA format.</w:t>
      </w:r>
    </w:p>
    <w:p w14:paraId="756CB5C8" w14:textId="77777777" w:rsidR="002D0DEB" w:rsidRDefault="002D0DEB" w:rsidP="007A3DD8">
      <w:pPr>
        <w:pStyle w:val="ListParagraph"/>
        <w:numPr>
          <w:ilvl w:val="0"/>
          <w:numId w:val="35"/>
        </w:numPr>
        <w:spacing w:line="256" w:lineRule="auto"/>
        <w:rPr>
          <w:lang w:val="en-GB"/>
        </w:rPr>
      </w:pPr>
      <w:r w:rsidRPr="00F91CD3">
        <w:rPr>
          <w:lang w:val="en-GB"/>
        </w:rPr>
        <w:t>It is recommended that DBS ensure that all stakeholders are clear on the procedures to follow in relation to potential issues that may occur on placements.</w:t>
      </w:r>
    </w:p>
    <w:p w14:paraId="6686BD74" w14:textId="77777777" w:rsidR="002D0DEB" w:rsidRPr="008C6ECD" w:rsidRDefault="002D0DEB" w:rsidP="007A3DD8">
      <w:pPr>
        <w:pStyle w:val="ListParagraph"/>
        <w:numPr>
          <w:ilvl w:val="0"/>
          <w:numId w:val="35"/>
        </w:numPr>
        <w:spacing w:line="256" w:lineRule="auto"/>
        <w:rPr>
          <w:lang w:val="en-GB"/>
        </w:rPr>
      </w:pPr>
      <w:r w:rsidRPr="008C6ECD">
        <w:rPr>
          <w:lang w:val="en-GB"/>
        </w:rPr>
        <w:t>It is recommended that DBS ensure that the weightings of ECTS are clearly visible in all documentation, e.g., Student Handbook, module descriptors</w:t>
      </w:r>
    </w:p>
    <w:p w14:paraId="5A1EF876" w14:textId="77777777" w:rsidR="002D0DEB" w:rsidRPr="00F91CD3" w:rsidRDefault="002D0DEB" w:rsidP="007A3DD8">
      <w:pPr>
        <w:pStyle w:val="ListParagraph"/>
        <w:numPr>
          <w:ilvl w:val="0"/>
          <w:numId w:val="35"/>
        </w:numPr>
        <w:spacing w:line="256" w:lineRule="auto"/>
        <w:rPr>
          <w:lang w:val="en-GB"/>
        </w:rPr>
      </w:pPr>
      <w:r w:rsidRPr="00F91CD3">
        <w:rPr>
          <w:lang w:val="en-GB"/>
        </w:rPr>
        <w:t xml:space="preserve">It is recommended that DBS consider directing learners to specific research themes in line with Faculty interests and priorities as well as allowing them to choose their own topic. </w:t>
      </w:r>
    </w:p>
    <w:p w14:paraId="712EA13A" w14:textId="77777777" w:rsidR="002D0DEB" w:rsidRPr="00F91CD3" w:rsidRDefault="002D0DEB" w:rsidP="007A3DD8">
      <w:pPr>
        <w:pStyle w:val="ListParagraph"/>
        <w:numPr>
          <w:ilvl w:val="0"/>
          <w:numId w:val="35"/>
        </w:numPr>
        <w:spacing w:line="256" w:lineRule="auto"/>
        <w:rPr>
          <w:lang w:val="en-GB"/>
        </w:rPr>
      </w:pPr>
      <w:r w:rsidRPr="00F91CD3">
        <w:rPr>
          <w:lang w:val="en-GB"/>
        </w:rPr>
        <w:t>It is recommended that DBS give consideration to ensuring that there is an equitable balance in terms of learner effort hours, word counts and skills assessed across the research placement (Capstone 1) and the dissertation (Capstone 2) modules.</w:t>
      </w:r>
    </w:p>
    <w:p w14:paraId="24EC3086" w14:textId="77777777" w:rsidR="002D0DEB" w:rsidRPr="00F91CD3" w:rsidRDefault="002D0DEB" w:rsidP="007A3DD8">
      <w:pPr>
        <w:pStyle w:val="ListParagraph"/>
        <w:numPr>
          <w:ilvl w:val="0"/>
          <w:numId w:val="35"/>
        </w:numPr>
        <w:spacing w:line="256" w:lineRule="auto"/>
        <w:rPr>
          <w:lang w:val="en-GB"/>
        </w:rPr>
      </w:pPr>
      <w:r w:rsidRPr="00F91CD3">
        <w:rPr>
          <w:lang w:val="en-GB"/>
        </w:rPr>
        <w:t>It is recommended that DBS consider equity across all modules with particular reference to:</w:t>
      </w:r>
    </w:p>
    <w:p w14:paraId="140E414D" w14:textId="77777777" w:rsidR="002D0DEB" w:rsidRPr="00F91CD3" w:rsidRDefault="002D0DEB" w:rsidP="007A3DD8">
      <w:pPr>
        <w:pStyle w:val="ListParagraph"/>
        <w:numPr>
          <w:ilvl w:val="1"/>
          <w:numId w:val="35"/>
        </w:numPr>
        <w:spacing w:line="256" w:lineRule="auto"/>
        <w:rPr>
          <w:lang w:val="en-GB"/>
        </w:rPr>
      </w:pPr>
      <w:r w:rsidRPr="00F91CD3">
        <w:rPr>
          <w:lang w:val="en-GB"/>
        </w:rPr>
        <w:t>word counts for assessments</w:t>
      </w:r>
    </w:p>
    <w:p w14:paraId="01EBD86E" w14:textId="77777777" w:rsidR="002D0DEB" w:rsidRPr="00F91CD3" w:rsidRDefault="002D0DEB" w:rsidP="007A3DD8">
      <w:pPr>
        <w:pStyle w:val="ListParagraph"/>
        <w:numPr>
          <w:ilvl w:val="1"/>
          <w:numId w:val="35"/>
        </w:numPr>
        <w:spacing w:line="256" w:lineRule="auto"/>
        <w:rPr>
          <w:lang w:val="en-GB"/>
        </w:rPr>
      </w:pPr>
      <w:r w:rsidRPr="00F91CD3">
        <w:rPr>
          <w:lang w:val="en-GB"/>
        </w:rPr>
        <w:t>assessment formats and weightings e.g., case studies and presentations</w:t>
      </w:r>
    </w:p>
    <w:p w14:paraId="4FDAA2F1" w14:textId="357783E3" w:rsidR="002D0DEB" w:rsidRDefault="002D0DEB" w:rsidP="007A3DD8">
      <w:pPr>
        <w:pStyle w:val="ListParagraph"/>
        <w:numPr>
          <w:ilvl w:val="0"/>
          <w:numId w:val="35"/>
        </w:numPr>
        <w:spacing w:line="256" w:lineRule="auto"/>
        <w:rPr>
          <w:lang w:val="en-GB"/>
        </w:rPr>
      </w:pPr>
      <w:r w:rsidRPr="00F91CD3">
        <w:rPr>
          <w:lang w:val="en-GB"/>
        </w:rPr>
        <w:t>It is recommended that DBS highlight the range of student support services</w:t>
      </w:r>
      <w:r w:rsidR="008D1B6E">
        <w:rPr>
          <w:lang w:val="en-GB"/>
        </w:rPr>
        <w:t xml:space="preserve"> available</w:t>
      </w:r>
      <w:r w:rsidRPr="00F91CD3">
        <w:rPr>
          <w:lang w:val="en-GB"/>
        </w:rPr>
        <w:t xml:space="preserve"> in the programme documentation, student handbook and DBS website.</w:t>
      </w:r>
    </w:p>
    <w:p w14:paraId="11A9CD20" w14:textId="77777777" w:rsidR="002D0DEB" w:rsidRDefault="002D0DEB" w:rsidP="002D0DEB">
      <w:pPr>
        <w:rPr>
          <w:lang w:val="en-GB"/>
        </w:rPr>
      </w:pPr>
    </w:p>
    <w:p w14:paraId="3A2EF960" w14:textId="77777777" w:rsidR="002D0DEB" w:rsidRDefault="002D0DEB" w:rsidP="002D0DEB">
      <w:pPr>
        <w:rPr>
          <w:lang w:val="en-GB"/>
        </w:rPr>
      </w:pPr>
    </w:p>
    <w:p w14:paraId="5FD34E1E" w14:textId="77777777" w:rsidR="00F060AB" w:rsidRPr="003546AE" w:rsidRDefault="00D35F8D" w:rsidP="00F060AB">
      <w:pPr>
        <w:rPr>
          <w:rFonts w:cstheme="minorHAnsi"/>
        </w:rPr>
      </w:pPr>
    </w:p>
    <w:p w14:paraId="4868B123" w14:textId="77777777" w:rsidR="00F060AB" w:rsidRPr="003546AE" w:rsidRDefault="00D35F8D" w:rsidP="00F060AB">
      <w:pPr>
        <w:contextualSpacing/>
        <w:rPr>
          <w:rFonts w:eastAsia="Times New Roman" w:cstheme="minorHAnsi"/>
          <w:b/>
          <w:i/>
        </w:rPr>
      </w:pPr>
    </w:p>
    <w:p w14:paraId="73605631" w14:textId="77777777" w:rsidR="00F060AB" w:rsidRPr="003546AE" w:rsidRDefault="00D35F8D" w:rsidP="00F060AB">
      <w:pPr>
        <w:contextualSpacing/>
        <w:rPr>
          <w:rFonts w:eastAsia="Times New Roman" w:cstheme="minorHAnsi"/>
          <w:b/>
          <w:i/>
        </w:rPr>
      </w:pPr>
    </w:p>
    <w:p w14:paraId="51D784C5" w14:textId="77777777" w:rsidR="00F060AB" w:rsidRPr="003546AE" w:rsidRDefault="00D35F8D" w:rsidP="00F060AB">
      <w:pPr>
        <w:contextualSpacing/>
        <w:rPr>
          <w:rFonts w:eastAsia="Times New Roman" w:cstheme="minorHAnsi"/>
        </w:rPr>
      </w:pPr>
    </w:p>
    <w:p w14:paraId="540D53DB" w14:textId="77777777" w:rsidR="00F060AB" w:rsidRPr="003546AE" w:rsidRDefault="00D35F8D" w:rsidP="00F060AB">
      <w:pPr>
        <w:contextualSpacing/>
        <w:rPr>
          <w:rFonts w:eastAsia="Times New Roman" w:cstheme="minorHAnsi"/>
        </w:rPr>
      </w:pPr>
    </w:p>
    <w:p w14:paraId="1E56CDAE" w14:textId="77777777" w:rsidR="00F060AB" w:rsidRPr="003546AE" w:rsidRDefault="00BC1208" w:rsidP="00F060AB">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F060AB" w:rsidRPr="003546AE" w:rsidRDefault="00BC1208" w:rsidP="00F060AB">
      <w:pPr>
        <w:pStyle w:val="Heading2"/>
        <w:numPr>
          <w:ilvl w:val="0"/>
          <w:numId w:val="0"/>
        </w:numPr>
      </w:pPr>
      <w:r w:rsidRPr="003546AE">
        <w:t>Declarations of Evaluators’ Interests</w:t>
      </w:r>
    </w:p>
    <w:p w14:paraId="161AFDDA" w14:textId="77777777" w:rsidR="00F060AB" w:rsidRPr="003546AE" w:rsidRDefault="00D35F8D" w:rsidP="00F060AB">
      <w:pPr>
        <w:rPr>
          <w:rFonts w:cstheme="minorHAnsi"/>
        </w:rPr>
      </w:pPr>
    </w:p>
    <w:p w14:paraId="24894AD3" w14:textId="77777777" w:rsidR="00F060AB" w:rsidRPr="003546AE" w:rsidRDefault="00BC1208" w:rsidP="00F060AB">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F060AB" w:rsidRPr="003546AE" w:rsidRDefault="00D35F8D" w:rsidP="00F060AB">
      <w:pPr>
        <w:rPr>
          <w:rFonts w:cstheme="minorHAnsi"/>
        </w:rPr>
      </w:pPr>
    </w:p>
    <w:p w14:paraId="4FDBA6A0" w14:textId="69FD5F26" w:rsidR="00F060AB" w:rsidRPr="003546AE" w:rsidRDefault="00BC1208" w:rsidP="00F060AB">
      <w:pPr>
        <w:rPr>
          <w:rFonts w:cstheme="minorHAnsi"/>
        </w:rPr>
      </w:pPr>
      <w:r w:rsidRPr="003546AE">
        <w:rPr>
          <w:rFonts w:cstheme="minorHAnsi"/>
        </w:rPr>
        <w:t xml:space="preserve">Panel chairperson:  </w:t>
      </w:r>
      <w:r w:rsidR="00055C8C">
        <w:rPr>
          <w:rFonts w:cstheme="minorHAnsi"/>
        </w:rPr>
        <w:t>Dr Annie Doona</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r w:rsidR="00055C8C">
        <w:rPr>
          <w:rFonts w:cstheme="minorHAnsi"/>
        </w:rPr>
        <w:t>16</w:t>
      </w:r>
      <w:r w:rsidR="00055C8C" w:rsidRPr="00055C8C">
        <w:rPr>
          <w:rFonts w:cstheme="minorHAnsi"/>
          <w:vertAlign w:val="superscript"/>
        </w:rPr>
        <w:t>th</w:t>
      </w:r>
      <w:r w:rsidR="00055C8C">
        <w:rPr>
          <w:rFonts w:cstheme="minorHAnsi"/>
        </w:rPr>
        <w:t xml:space="preserve"> May 2022</w:t>
      </w:r>
    </w:p>
    <w:p w14:paraId="389426E9" w14:textId="77777777" w:rsidR="00F060AB" w:rsidRPr="003546AE" w:rsidRDefault="00D35F8D" w:rsidP="00F060AB">
      <w:pPr>
        <w:rPr>
          <w:rFonts w:cstheme="minorHAnsi"/>
        </w:rPr>
      </w:pPr>
    </w:p>
    <w:p w14:paraId="26A589DE" w14:textId="5BA789D1" w:rsidR="00F060AB" w:rsidRPr="003546AE" w:rsidRDefault="00BC1208" w:rsidP="00F060AB">
      <w:pPr>
        <w:rPr>
          <w:rFonts w:cstheme="minorHAnsi"/>
        </w:rPr>
      </w:pPr>
      <w:r w:rsidRPr="003546AE">
        <w:rPr>
          <w:rFonts w:cstheme="minorHAnsi"/>
        </w:rPr>
        <w:t xml:space="preserve">Signed:        </w:t>
      </w:r>
      <w:r w:rsidR="00055C8C">
        <w:rPr>
          <w:rFonts w:cstheme="minorHAnsi"/>
          <w:noProof/>
          <w:lang w:eastAsia="en-IE"/>
        </w:rPr>
        <w:drawing>
          <wp:inline distT="0" distB="0" distL="0" distR="0" wp14:anchorId="455EF94E" wp14:editId="599EC841">
            <wp:extent cx="1912620" cy="982980"/>
            <wp:effectExtent l="0" t="0" r="0" b="762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982980"/>
                    </a:xfrm>
                    <a:prstGeom prst="rect">
                      <a:avLst/>
                    </a:prstGeom>
                  </pic:spPr>
                </pic:pic>
              </a:graphicData>
            </a:graphic>
          </wp:inline>
        </w:drawing>
      </w:r>
      <w:r w:rsidRPr="003546AE">
        <w:rPr>
          <w:rFonts w:cstheme="minorHAnsi"/>
        </w:rPr>
        <w:t xml:space="preserve">                                                            </w:t>
      </w:r>
      <w:r w:rsidRPr="003546AE">
        <w:rPr>
          <w:rFonts w:cstheme="minorHAnsi"/>
        </w:rPr>
        <w:tab/>
      </w:r>
    </w:p>
    <w:p w14:paraId="37A6DF98" w14:textId="77777777" w:rsidR="00F060AB" w:rsidRPr="003546AE" w:rsidRDefault="00D35F8D" w:rsidP="00F060AB">
      <w:pPr>
        <w:rPr>
          <w:rFonts w:cstheme="minorHAnsi"/>
        </w:rPr>
      </w:pPr>
    </w:p>
    <w:p w14:paraId="17DC8ACF" w14:textId="77777777" w:rsidR="00F060AB" w:rsidRPr="003546AE" w:rsidRDefault="00BC1208" w:rsidP="00F060AB">
      <w:pPr>
        <w:pStyle w:val="Heading2"/>
      </w:pPr>
      <w:r w:rsidRPr="003546AE">
        <w:t>Disclaimer</w:t>
      </w:r>
    </w:p>
    <w:p w14:paraId="02C5F0B5" w14:textId="77777777" w:rsidR="00F060AB" w:rsidRPr="003546AE" w:rsidRDefault="00BC1208" w:rsidP="00F060AB">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F060AB" w:rsidRPr="003546AE" w:rsidRDefault="00BC1208" w:rsidP="00F060AB">
      <w:pPr>
        <w:rPr>
          <w:rFonts w:cstheme="minorHAnsi"/>
        </w:rPr>
        <w:sectPr w:rsidR="00F060AB" w:rsidRPr="003546AE" w:rsidSect="00302DC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77777777" w:rsidR="00F060AB" w:rsidRPr="00452DD6" w:rsidRDefault="00BC1208" w:rsidP="00F060AB">
      <w:pPr>
        <w:pStyle w:val="Heading1"/>
      </w:pPr>
      <w:r w:rsidRPr="00BF7A5C">
        <w:t>Proposed</w:t>
      </w:r>
      <w:r w:rsidRPr="003546AE">
        <w:t xml:space="preserve"> programme schedules</w:t>
      </w:r>
      <w:r>
        <w:rPr>
          <w:lang w:val="ga-IE"/>
        </w:rPr>
        <w:t xml:space="preserve"> </w:t>
      </w:r>
      <w:r w:rsidRPr="00452DD6">
        <w:rPr>
          <w:i/>
          <w:iCs/>
          <w:color w:val="FF0000"/>
          <w:sz w:val="18"/>
          <w:szCs w:val="18"/>
        </w:rPr>
        <w:t>(post panel feedback and consequent amendments, ifany)</w:t>
      </w:r>
    </w:p>
    <w:p w14:paraId="191CDB99" w14:textId="77777777" w:rsidR="00F060AB" w:rsidRPr="00C62154" w:rsidRDefault="00D35F8D" w:rsidP="00F060AB">
      <w:pPr>
        <w:rPr>
          <w:bCs/>
          <w:lang w:val="ga-IE"/>
        </w:rPr>
      </w:pPr>
    </w:p>
    <w:p w14:paraId="7886BA36" w14:textId="5B72AAE2" w:rsidR="00DF6419" w:rsidRDefault="00D35F8D"/>
    <w:sectPr w:rsidR="00DF6419" w:rsidSect="00302D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3B2C" w14:textId="77777777" w:rsidR="00D35F8D" w:rsidRDefault="00D35F8D">
      <w:pPr>
        <w:spacing w:after="0" w:line="240" w:lineRule="auto"/>
      </w:pPr>
      <w:r>
        <w:separator/>
      </w:r>
    </w:p>
  </w:endnote>
  <w:endnote w:type="continuationSeparator" w:id="0">
    <w:p w14:paraId="0EAA4DAF" w14:textId="77777777" w:rsidR="00D35F8D" w:rsidRDefault="00D3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95B0" w14:textId="77777777" w:rsidR="003A6FB3" w:rsidRDefault="003A6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5BA54110" w:rsidR="00AC46AA" w:rsidRDefault="00BC1208">
        <w:pPr>
          <w:pStyle w:val="Footer"/>
          <w:jc w:val="right"/>
        </w:pPr>
        <w:r>
          <w:fldChar w:fldCharType="begin"/>
        </w:r>
        <w:r>
          <w:instrText xml:space="preserve"> PAGE   \* MERGEFORMAT </w:instrText>
        </w:r>
        <w:r>
          <w:fldChar w:fldCharType="separate"/>
        </w:r>
        <w:r w:rsidR="006C63A9">
          <w:rPr>
            <w:noProof/>
          </w:rPr>
          <w:t>21</w:t>
        </w:r>
        <w:r>
          <w:rPr>
            <w:noProof/>
          </w:rPr>
          <w:fldChar w:fldCharType="end"/>
        </w:r>
      </w:p>
    </w:sdtContent>
  </w:sdt>
  <w:p w14:paraId="64F30F1D" w14:textId="77777777" w:rsidR="00AC46AA" w:rsidRDefault="00D35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8B1" w14:textId="77777777" w:rsidR="003A6FB3" w:rsidRDefault="003A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64A1" w14:textId="77777777" w:rsidR="00D35F8D" w:rsidRDefault="00D35F8D">
      <w:pPr>
        <w:spacing w:after="0" w:line="240" w:lineRule="auto"/>
      </w:pPr>
      <w:r>
        <w:separator/>
      </w:r>
    </w:p>
  </w:footnote>
  <w:footnote w:type="continuationSeparator" w:id="0">
    <w:p w14:paraId="28D2A8AB" w14:textId="77777777" w:rsidR="00D35F8D" w:rsidRDefault="00D35F8D">
      <w:pPr>
        <w:spacing w:after="0" w:line="240" w:lineRule="auto"/>
      </w:pPr>
      <w:r>
        <w:continuationSeparator/>
      </w:r>
    </w:p>
  </w:footnote>
  <w:footnote w:id="1">
    <w:p w14:paraId="7537FC9F" w14:textId="2F2EE9DB" w:rsidR="00AE1F93" w:rsidRDefault="00AE1F93" w:rsidP="00AE1F93">
      <w:pPr>
        <w:pBdr>
          <w:top w:val="nil"/>
          <w:left w:val="nil"/>
          <w:bottom w:val="nil"/>
          <w:right w:val="nil"/>
          <w:between w:val="nil"/>
        </w:pBdr>
        <w:spacing w:after="0"/>
        <w:rPr>
          <w:color w:val="000000"/>
          <w:sz w:val="18"/>
          <w:szCs w:val="18"/>
        </w:rPr>
      </w:pPr>
      <w:r>
        <w:rPr>
          <w:rStyle w:val="FootnoteReference"/>
        </w:rPr>
        <w:footnoteRef/>
      </w:r>
      <w:r>
        <w:rPr>
          <w:color w:val="000000"/>
          <w:sz w:val="16"/>
          <w:szCs w:val="16"/>
        </w:rPr>
        <w:t xml:space="preserve"> WTE is the whole-time equivalent number. The number 1 indicates a </w:t>
      </w:r>
      <w:r w:rsidR="003B1AB7">
        <w:rPr>
          <w:sz w:val="16"/>
          <w:szCs w:val="16"/>
        </w:rPr>
        <w:t>full-time</w:t>
      </w:r>
      <w:r>
        <w:rPr>
          <w:color w:val="000000"/>
          <w:sz w:val="16"/>
          <w:szCs w:val="16"/>
        </w:rPr>
        <w:t xml:space="preserve"> person fully dedicated to the programme. 0.5 indicates a part-time person available to this programme half of the time.</w:t>
      </w:r>
    </w:p>
  </w:footnote>
  <w:footnote w:id="2">
    <w:p w14:paraId="08F444D5" w14:textId="77777777" w:rsidR="00774361" w:rsidRDefault="00774361" w:rsidP="00774361">
      <w:pPr>
        <w:pBdr>
          <w:top w:val="nil"/>
          <w:left w:val="nil"/>
          <w:bottom w:val="nil"/>
          <w:right w:val="nil"/>
          <w:between w:val="nil"/>
        </w:pBdr>
        <w:spacing w:after="0"/>
        <w:rPr>
          <w:color w:val="000000"/>
          <w:sz w:val="18"/>
          <w:szCs w:val="18"/>
        </w:rPr>
      </w:pPr>
      <w:r>
        <w:rPr>
          <w:rStyle w:val="FootnoteReference"/>
        </w:rPr>
        <w:footnoteRef/>
      </w:r>
      <w:r>
        <w:rPr>
          <w:color w:val="000000"/>
          <w:sz w:val="16"/>
          <w:szCs w:val="16"/>
        </w:rPr>
        <w:t xml:space="preserve"> WTE is the whole-time equivalent number. The number 1 indicates a </w:t>
      </w:r>
      <w:r>
        <w:rPr>
          <w:sz w:val="16"/>
          <w:szCs w:val="16"/>
        </w:rPr>
        <w:t>full-time</w:t>
      </w:r>
      <w:r>
        <w:rPr>
          <w:color w:val="000000"/>
          <w:sz w:val="16"/>
          <w:szCs w:val="16"/>
        </w:rPr>
        <w:t xml:space="preserve"> person fully dedicated to the programme. 0.5 indicates a part-time person available to this programme half of the time.</w:t>
      </w:r>
    </w:p>
  </w:footnote>
  <w:footnote w:id="3">
    <w:p w14:paraId="790BCECD" w14:textId="77777777" w:rsidR="00AC46AA" w:rsidRPr="00D26C08" w:rsidRDefault="00BC1208" w:rsidP="00F060A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4">
    <w:p w14:paraId="55097546" w14:textId="77777777" w:rsidR="00AC46AA" w:rsidRPr="00ED7462" w:rsidRDefault="00BC1208" w:rsidP="00F060A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5">
    <w:p w14:paraId="66E4E05C" w14:textId="77777777" w:rsidR="00AC46AA" w:rsidRPr="00ED7462" w:rsidRDefault="00BC1208" w:rsidP="00F060A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6">
    <w:p w14:paraId="758012C5" w14:textId="77777777" w:rsidR="00AC46AA" w:rsidRPr="00D26C08" w:rsidRDefault="00BC1208" w:rsidP="00F060A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7">
    <w:p w14:paraId="4D5CF83E" w14:textId="77777777" w:rsidR="00AC46AA" w:rsidRDefault="00BC1208" w:rsidP="00F060AB">
      <w:pPr>
        <w:pStyle w:val="FootnoteText"/>
      </w:pPr>
      <w:r>
        <w:rPr>
          <w:rStyle w:val="FootnoteReference"/>
        </w:rPr>
        <w:footnoteRef/>
      </w:r>
      <w:r>
        <w:t xml:space="preserve"> This might be predictive or indirect.</w:t>
      </w:r>
    </w:p>
  </w:footnote>
  <w:footnote w:id="8">
    <w:p w14:paraId="02AC32ED" w14:textId="77777777" w:rsidR="00AC46AA" w:rsidRDefault="00BC1208" w:rsidP="00F060A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9">
    <w:p w14:paraId="232A5DC1" w14:textId="77777777" w:rsidR="00AC46AA" w:rsidRPr="00D26C08" w:rsidRDefault="00BC1208" w:rsidP="00F060A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10">
    <w:p w14:paraId="2B5B7CAC" w14:textId="77777777" w:rsidR="00AC46AA" w:rsidRDefault="00BC1208" w:rsidP="00F060A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6FCAAEDE" w14:textId="77777777" w:rsidR="00AC46AA" w:rsidRDefault="00BC1208" w:rsidP="00F060AB">
      <w:pPr>
        <w:pStyle w:val="FootnoteText"/>
        <w:numPr>
          <w:ilvl w:val="0"/>
          <w:numId w:val="11"/>
        </w:numPr>
      </w:pPr>
      <w:r>
        <w:t xml:space="preserve">Progression and transfer routes </w:t>
      </w:r>
    </w:p>
    <w:p w14:paraId="4DA3796D" w14:textId="77777777" w:rsidR="00AC46AA" w:rsidRDefault="00BC1208" w:rsidP="00F060AB">
      <w:pPr>
        <w:pStyle w:val="FootnoteText"/>
        <w:numPr>
          <w:ilvl w:val="0"/>
          <w:numId w:val="11"/>
        </w:numPr>
      </w:pPr>
      <w:r>
        <w:t>Entry arrangements</w:t>
      </w:r>
    </w:p>
    <w:p w14:paraId="13763154" w14:textId="77777777" w:rsidR="00AC46AA" w:rsidRDefault="00BC1208" w:rsidP="00F060AB">
      <w:pPr>
        <w:pStyle w:val="FootnoteText"/>
        <w:numPr>
          <w:ilvl w:val="0"/>
          <w:numId w:val="11"/>
        </w:numPr>
      </w:pPr>
      <w:r>
        <w:t>Information provision</w:t>
      </w:r>
    </w:p>
  </w:footnote>
  <w:footnote w:id="11">
    <w:p w14:paraId="384F181E" w14:textId="77777777" w:rsidR="00AC46AA" w:rsidRPr="006A0CE5" w:rsidRDefault="00BC1208"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2">
    <w:p w14:paraId="4D5CFE01" w14:textId="77777777" w:rsidR="00AC46AA" w:rsidRDefault="00BC1208" w:rsidP="00F060AB">
      <w:pPr>
        <w:pStyle w:val="FootnoteText"/>
      </w:pPr>
      <w:r>
        <w:rPr>
          <w:rStyle w:val="FootnoteReference"/>
        </w:rPr>
        <w:footnoteRef/>
      </w:r>
      <w:r>
        <w:t xml:space="preserve"> This applies recursively to each and every element of the programme from enrolment through to completion.</w:t>
      </w:r>
    </w:p>
    <w:p w14:paraId="038954AB" w14:textId="77777777" w:rsidR="00AC46AA" w:rsidRPr="00D26C08" w:rsidRDefault="00BC1208" w:rsidP="00F060A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3">
    <w:p w14:paraId="4681D19A" w14:textId="77777777" w:rsidR="00AC46AA" w:rsidRPr="00DC001B" w:rsidRDefault="00BC1208" w:rsidP="00F060AB">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4">
    <w:p w14:paraId="7D52E499" w14:textId="77777777" w:rsidR="00AC46AA" w:rsidRPr="00DC001B" w:rsidRDefault="00BC1208" w:rsidP="00F060A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5">
    <w:p w14:paraId="7018B1BF" w14:textId="77777777" w:rsidR="00AC46AA" w:rsidRPr="00DC001B" w:rsidRDefault="00BC1208" w:rsidP="00F060A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6">
    <w:p w14:paraId="7E67E970" w14:textId="77777777" w:rsidR="00AC46AA" w:rsidRPr="00D26C08" w:rsidRDefault="00BC1208" w:rsidP="00F060A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7">
    <w:p w14:paraId="73737408" w14:textId="77777777" w:rsidR="00AC46AA" w:rsidRDefault="00BC1208" w:rsidP="00F060A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8">
    <w:p w14:paraId="2F374AF9" w14:textId="77777777" w:rsidR="00AC46AA" w:rsidRPr="00DC001B" w:rsidRDefault="00BC1208" w:rsidP="00F060AB">
      <w:pPr>
        <w:pStyle w:val="FootnoteText"/>
      </w:pPr>
      <w:r w:rsidRPr="00DC001B">
        <w:rPr>
          <w:rStyle w:val="FootnoteReference"/>
        </w:rPr>
        <w:footnoteRef/>
      </w:r>
      <w:r w:rsidRPr="00DC001B">
        <w:t xml:space="preserve"> See the section on transitional arrangements.</w:t>
      </w:r>
    </w:p>
  </w:footnote>
  <w:footnote w:id="19">
    <w:p w14:paraId="7743F3DE" w14:textId="77777777" w:rsidR="00AC46AA" w:rsidRPr="00DC001B" w:rsidRDefault="00BC1208" w:rsidP="00F060A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20">
    <w:p w14:paraId="04EF7B72" w14:textId="77777777" w:rsidR="00AC46AA" w:rsidRPr="00D26C08" w:rsidRDefault="00BC1208" w:rsidP="00F060A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21">
    <w:p w14:paraId="725F7830" w14:textId="77777777" w:rsidR="00AC46AA" w:rsidRPr="00D26C08" w:rsidRDefault="00BC1208" w:rsidP="00F060A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2">
    <w:p w14:paraId="5392B6FB" w14:textId="77777777" w:rsidR="00AC46AA" w:rsidRPr="00E46CEF" w:rsidRDefault="00BC1208"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3">
    <w:p w14:paraId="3E82AA9A" w14:textId="77777777" w:rsidR="00AC46AA" w:rsidRPr="00E46CEF" w:rsidRDefault="00BC1208" w:rsidP="00F060A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4">
    <w:p w14:paraId="35D7B39B" w14:textId="77777777" w:rsidR="00AC46AA" w:rsidRPr="00E46CEF" w:rsidRDefault="00BC1208"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771" w14:textId="77777777" w:rsidR="003A6FB3" w:rsidRDefault="003A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3DE2" w14:textId="77777777" w:rsidR="003A6FB3" w:rsidRDefault="003A6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3E3E" w14:textId="77777777" w:rsidR="003A6FB3" w:rsidRDefault="003A6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E00"/>
    <w:multiLevelType w:val="hybridMultilevel"/>
    <w:tmpl w:val="89506D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B01A0"/>
    <w:multiLevelType w:val="multilevel"/>
    <w:tmpl w:val="E7E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26080"/>
    <w:multiLevelType w:val="hybridMultilevel"/>
    <w:tmpl w:val="D75A303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1">
    <w:nsid w:val="72283607"/>
    <w:multiLevelType w:val="hybridMultilevel"/>
    <w:tmpl w:val="2E666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C56F3"/>
    <w:multiLevelType w:val="hybridMultilevel"/>
    <w:tmpl w:val="06961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845486">
    <w:abstractNumId w:val="3"/>
  </w:num>
  <w:num w:numId="2" w16cid:durableId="1588033244">
    <w:abstractNumId w:val="32"/>
  </w:num>
  <w:num w:numId="3" w16cid:durableId="802385922">
    <w:abstractNumId w:val="30"/>
  </w:num>
  <w:num w:numId="4" w16cid:durableId="1248343224">
    <w:abstractNumId w:val="21"/>
  </w:num>
  <w:num w:numId="5" w16cid:durableId="593511697">
    <w:abstractNumId w:val="14"/>
  </w:num>
  <w:num w:numId="6" w16cid:durableId="977228708">
    <w:abstractNumId w:val="2"/>
  </w:num>
  <w:num w:numId="7" w16cid:durableId="1049108856">
    <w:abstractNumId w:val="10"/>
  </w:num>
  <w:num w:numId="8" w16cid:durableId="642350049">
    <w:abstractNumId w:val="9"/>
  </w:num>
  <w:num w:numId="9" w16cid:durableId="808741697">
    <w:abstractNumId w:val="7"/>
  </w:num>
  <w:num w:numId="10" w16cid:durableId="1287393551">
    <w:abstractNumId w:val="17"/>
  </w:num>
  <w:num w:numId="11" w16cid:durableId="1448770960">
    <w:abstractNumId w:val="23"/>
  </w:num>
  <w:num w:numId="12" w16cid:durableId="293021662">
    <w:abstractNumId w:val="19"/>
  </w:num>
  <w:num w:numId="13" w16cid:durableId="1421949033">
    <w:abstractNumId w:val="8"/>
  </w:num>
  <w:num w:numId="14" w16cid:durableId="170070353">
    <w:abstractNumId w:val="5"/>
  </w:num>
  <w:num w:numId="15" w16cid:durableId="1756825560">
    <w:abstractNumId w:val="28"/>
  </w:num>
  <w:num w:numId="16" w16cid:durableId="1980837827">
    <w:abstractNumId w:val="11"/>
  </w:num>
  <w:num w:numId="17" w16cid:durableId="335882689">
    <w:abstractNumId w:val="26"/>
  </w:num>
  <w:num w:numId="18" w16cid:durableId="1985155045">
    <w:abstractNumId w:val="12"/>
  </w:num>
  <w:num w:numId="19" w16cid:durableId="2062240717">
    <w:abstractNumId w:val="4"/>
  </w:num>
  <w:num w:numId="20" w16cid:durableId="674308570">
    <w:abstractNumId w:val="1"/>
  </w:num>
  <w:num w:numId="21" w16cid:durableId="27528905">
    <w:abstractNumId w:val="15"/>
  </w:num>
  <w:num w:numId="22" w16cid:durableId="1232233242">
    <w:abstractNumId w:val="13"/>
  </w:num>
  <w:num w:numId="23" w16cid:durableId="765807103">
    <w:abstractNumId w:val="18"/>
  </w:num>
  <w:num w:numId="24" w16cid:durableId="2078088454">
    <w:abstractNumId w:val="6"/>
  </w:num>
  <w:num w:numId="25" w16cid:durableId="802429049">
    <w:abstractNumId w:val="25"/>
  </w:num>
  <w:num w:numId="26" w16cid:durableId="7949404">
    <w:abstractNumId w:val="27"/>
  </w:num>
  <w:num w:numId="27" w16cid:durableId="1343512153">
    <w:abstractNumId w:val="31"/>
  </w:num>
  <w:num w:numId="28" w16cid:durableId="851266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9895986">
    <w:abstractNumId w:val="31"/>
    <w:lvlOverride w:ilvl="0">
      <w:startOverride w:val="1"/>
    </w:lvlOverride>
  </w:num>
  <w:num w:numId="30" w16cid:durableId="1738933689">
    <w:abstractNumId w:val="16"/>
  </w:num>
  <w:num w:numId="31" w16cid:durableId="1327856180">
    <w:abstractNumId w:val="24"/>
  </w:num>
  <w:num w:numId="32" w16cid:durableId="812333074">
    <w:abstractNumId w:val="0"/>
  </w:num>
  <w:num w:numId="33" w16cid:durableId="109126128">
    <w:abstractNumId w:val="33"/>
  </w:num>
  <w:num w:numId="34" w16cid:durableId="1638029431">
    <w:abstractNumId w:val="29"/>
  </w:num>
  <w:num w:numId="35" w16cid:durableId="608703012">
    <w:abstractNumId w:val="22"/>
  </w:num>
  <w:num w:numId="36" w16cid:durableId="92708196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8"/>
    <w:rsid w:val="0001333C"/>
    <w:rsid w:val="00055C8C"/>
    <w:rsid w:val="000858BD"/>
    <w:rsid w:val="000A5EC2"/>
    <w:rsid w:val="000B19A6"/>
    <w:rsid w:val="000D40F1"/>
    <w:rsid w:val="000D73AE"/>
    <w:rsid w:val="000F5637"/>
    <w:rsid w:val="00101559"/>
    <w:rsid w:val="001111A2"/>
    <w:rsid w:val="00111942"/>
    <w:rsid w:val="001149AA"/>
    <w:rsid w:val="001221A5"/>
    <w:rsid w:val="001820FB"/>
    <w:rsid w:val="001F4D33"/>
    <w:rsid w:val="00217A8C"/>
    <w:rsid w:val="00230197"/>
    <w:rsid w:val="00230648"/>
    <w:rsid w:val="00237D3C"/>
    <w:rsid w:val="00267378"/>
    <w:rsid w:val="002708CB"/>
    <w:rsid w:val="002757DA"/>
    <w:rsid w:val="0028032A"/>
    <w:rsid w:val="002830F4"/>
    <w:rsid w:val="00293C39"/>
    <w:rsid w:val="002B56FF"/>
    <w:rsid w:val="002C30CE"/>
    <w:rsid w:val="002D0DEB"/>
    <w:rsid w:val="002E16B1"/>
    <w:rsid w:val="002F77A7"/>
    <w:rsid w:val="0030552D"/>
    <w:rsid w:val="00315007"/>
    <w:rsid w:val="0033092E"/>
    <w:rsid w:val="00390325"/>
    <w:rsid w:val="003A6FB3"/>
    <w:rsid w:val="003B1AB7"/>
    <w:rsid w:val="003D02FE"/>
    <w:rsid w:val="003F4164"/>
    <w:rsid w:val="00424342"/>
    <w:rsid w:val="00427626"/>
    <w:rsid w:val="004606F1"/>
    <w:rsid w:val="0046666D"/>
    <w:rsid w:val="0048373B"/>
    <w:rsid w:val="004856E7"/>
    <w:rsid w:val="004905F3"/>
    <w:rsid w:val="00495516"/>
    <w:rsid w:val="004B38C4"/>
    <w:rsid w:val="004C22B4"/>
    <w:rsid w:val="004C43CC"/>
    <w:rsid w:val="0050473D"/>
    <w:rsid w:val="00513AF7"/>
    <w:rsid w:val="005211C1"/>
    <w:rsid w:val="00521B73"/>
    <w:rsid w:val="005432C9"/>
    <w:rsid w:val="005549E0"/>
    <w:rsid w:val="00563BFE"/>
    <w:rsid w:val="00596D41"/>
    <w:rsid w:val="005C2D48"/>
    <w:rsid w:val="005C6E7A"/>
    <w:rsid w:val="005F323C"/>
    <w:rsid w:val="005F7FCB"/>
    <w:rsid w:val="0061751A"/>
    <w:rsid w:val="00653E0B"/>
    <w:rsid w:val="00666501"/>
    <w:rsid w:val="00673B48"/>
    <w:rsid w:val="006B3F08"/>
    <w:rsid w:val="006C0C05"/>
    <w:rsid w:val="006C63A9"/>
    <w:rsid w:val="006C7313"/>
    <w:rsid w:val="006D3A76"/>
    <w:rsid w:val="006D522B"/>
    <w:rsid w:val="006E636F"/>
    <w:rsid w:val="006E6507"/>
    <w:rsid w:val="006E6B55"/>
    <w:rsid w:val="00707D74"/>
    <w:rsid w:val="0072068F"/>
    <w:rsid w:val="007610C4"/>
    <w:rsid w:val="00774361"/>
    <w:rsid w:val="00793080"/>
    <w:rsid w:val="00795A6E"/>
    <w:rsid w:val="00797463"/>
    <w:rsid w:val="007A3DD8"/>
    <w:rsid w:val="007B14FB"/>
    <w:rsid w:val="007F2C50"/>
    <w:rsid w:val="007F522D"/>
    <w:rsid w:val="00822084"/>
    <w:rsid w:val="0084046E"/>
    <w:rsid w:val="00857E00"/>
    <w:rsid w:val="008A375F"/>
    <w:rsid w:val="008A3E20"/>
    <w:rsid w:val="008B3CF2"/>
    <w:rsid w:val="008B7C9F"/>
    <w:rsid w:val="008D1B6E"/>
    <w:rsid w:val="0090677A"/>
    <w:rsid w:val="00922B89"/>
    <w:rsid w:val="009418E9"/>
    <w:rsid w:val="0095523F"/>
    <w:rsid w:val="00963BCD"/>
    <w:rsid w:val="00976CB1"/>
    <w:rsid w:val="009A01CD"/>
    <w:rsid w:val="009A7FD6"/>
    <w:rsid w:val="009B1C29"/>
    <w:rsid w:val="009B711B"/>
    <w:rsid w:val="009C3D6F"/>
    <w:rsid w:val="009D310B"/>
    <w:rsid w:val="009D5E26"/>
    <w:rsid w:val="009E31D4"/>
    <w:rsid w:val="00A008E8"/>
    <w:rsid w:val="00A01391"/>
    <w:rsid w:val="00A02083"/>
    <w:rsid w:val="00A17D44"/>
    <w:rsid w:val="00A354A7"/>
    <w:rsid w:val="00A434F6"/>
    <w:rsid w:val="00A60770"/>
    <w:rsid w:val="00A7036E"/>
    <w:rsid w:val="00A7465D"/>
    <w:rsid w:val="00AB0E24"/>
    <w:rsid w:val="00AD2745"/>
    <w:rsid w:val="00AE1F93"/>
    <w:rsid w:val="00AF5223"/>
    <w:rsid w:val="00B35DC5"/>
    <w:rsid w:val="00B72D64"/>
    <w:rsid w:val="00BA1D8E"/>
    <w:rsid w:val="00BA437C"/>
    <w:rsid w:val="00BB4140"/>
    <w:rsid w:val="00BC1208"/>
    <w:rsid w:val="00BF3453"/>
    <w:rsid w:val="00C21CF6"/>
    <w:rsid w:val="00C50DF7"/>
    <w:rsid w:val="00C54284"/>
    <w:rsid w:val="00C87CD9"/>
    <w:rsid w:val="00C9189B"/>
    <w:rsid w:val="00CA03C1"/>
    <w:rsid w:val="00CB7B51"/>
    <w:rsid w:val="00CC2FDE"/>
    <w:rsid w:val="00CE4180"/>
    <w:rsid w:val="00CE6E39"/>
    <w:rsid w:val="00CF2797"/>
    <w:rsid w:val="00CF2C71"/>
    <w:rsid w:val="00CF3F44"/>
    <w:rsid w:val="00D037A8"/>
    <w:rsid w:val="00D1145A"/>
    <w:rsid w:val="00D21FB9"/>
    <w:rsid w:val="00D34843"/>
    <w:rsid w:val="00D35F8D"/>
    <w:rsid w:val="00D4645C"/>
    <w:rsid w:val="00D765BE"/>
    <w:rsid w:val="00D92119"/>
    <w:rsid w:val="00D9298C"/>
    <w:rsid w:val="00D942EF"/>
    <w:rsid w:val="00DB7250"/>
    <w:rsid w:val="00DD4DD1"/>
    <w:rsid w:val="00DD5E36"/>
    <w:rsid w:val="00E019C7"/>
    <w:rsid w:val="00E12C18"/>
    <w:rsid w:val="00E2767A"/>
    <w:rsid w:val="00E61F69"/>
    <w:rsid w:val="00E96478"/>
    <w:rsid w:val="00EA183A"/>
    <w:rsid w:val="00ED2FA1"/>
    <w:rsid w:val="00EE428B"/>
    <w:rsid w:val="00F31218"/>
    <w:rsid w:val="00F4054A"/>
    <w:rsid w:val="00F9076B"/>
    <w:rsid w:val="00F90B10"/>
    <w:rsid w:val="00F97375"/>
    <w:rsid w:val="00FC725B"/>
    <w:rsid w:val="00FE6886"/>
    <w:rsid w:val="00FF6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61"/>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27"/>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0"/>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3A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B3"/>
  </w:style>
  <w:style w:type="character" w:customStyle="1" w:styleId="ListParagraphChar">
    <w:name w:val="List Paragraph Char"/>
    <w:link w:val="ListParagraph"/>
    <w:uiPriority w:val="34"/>
    <w:locked/>
    <w:rsid w:val="00230197"/>
  </w:style>
  <w:style w:type="paragraph" w:customStyle="1" w:styleId="Default">
    <w:name w:val="Default"/>
    <w:rsid w:val="006E6507"/>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EE428B"/>
    <w:rPr>
      <w:sz w:val="16"/>
      <w:szCs w:val="16"/>
    </w:rPr>
  </w:style>
  <w:style w:type="paragraph" w:styleId="CommentText">
    <w:name w:val="annotation text"/>
    <w:basedOn w:val="Normal"/>
    <w:link w:val="CommentTextChar"/>
    <w:uiPriority w:val="99"/>
    <w:semiHidden/>
    <w:unhideWhenUsed/>
    <w:rsid w:val="00EE428B"/>
    <w:pPr>
      <w:spacing w:line="240" w:lineRule="auto"/>
    </w:pPr>
    <w:rPr>
      <w:sz w:val="20"/>
      <w:szCs w:val="20"/>
    </w:rPr>
  </w:style>
  <w:style w:type="character" w:customStyle="1" w:styleId="CommentTextChar">
    <w:name w:val="Comment Text Char"/>
    <w:basedOn w:val="DefaultParagraphFont"/>
    <w:link w:val="CommentText"/>
    <w:uiPriority w:val="99"/>
    <w:semiHidden/>
    <w:rsid w:val="00EE428B"/>
    <w:rPr>
      <w:sz w:val="20"/>
      <w:szCs w:val="20"/>
    </w:rPr>
  </w:style>
  <w:style w:type="paragraph" w:styleId="CommentSubject">
    <w:name w:val="annotation subject"/>
    <w:basedOn w:val="CommentText"/>
    <w:next w:val="CommentText"/>
    <w:link w:val="CommentSubjectChar"/>
    <w:uiPriority w:val="99"/>
    <w:semiHidden/>
    <w:unhideWhenUsed/>
    <w:rsid w:val="00EE428B"/>
    <w:rPr>
      <w:b/>
      <w:bCs/>
    </w:rPr>
  </w:style>
  <w:style w:type="character" w:customStyle="1" w:styleId="CommentSubjectChar">
    <w:name w:val="Comment Subject Char"/>
    <w:basedOn w:val="CommentTextChar"/>
    <w:link w:val="CommentSubject"/>
    <w:uiPriority w:val="99"/>
    <w:semiHidden/>
    <w:rsid w:val="00EE428B"/>
    <w:rPr>
      <w:b/>
      <w:bCs/>
      <w:sz w:val="20"/>
      <w:szCs w:val="20"/>
    </w:rPr>
  </w:style>
  <w:style w:type="character" w:styleId="Hyperlink">
    <w:name w:val="Hyperlink"/>
    <w:basedOn w:val="DefaultParagraphFont"/>
    <w:uiPriority w:val="99"/>
    <w:unhideWhenUsed/>
    <w:rsid w:val="00FE6886"/>
    <w:rPr>
      <w:color w:val="0563C1" w:themeColor="hyperlink"/>
      <w:u w:val="single"/>
    </w:rPr>
  </w:style>
  <w:style w:type="character" w:customStyle="1" w:styleId="UnresolvedMention1">
    <w:name w:val="Unresolved Mention1"/>
    <w:basedOn w:val="DefaultParagraphFont"/>
    <w:uiPriority w:val="99"/>
    <w:semiHidden/>
    <w:unhideWhenUsed/>
    <w:rsid w:val="00FE6886"/>
    <w:rPr>
      <w:color w:val="605E5C"/>
      <w:shd w:val="clear" w:color="auto" w:fill="E1DFDD"/>
    </w:rPr>
  </w:style>
  <w:style w:type="paragraph" w:styleId="Revision">
    <w:name w:val="Revision"/>
    <w:hidden/>
    <w:uiPriority w:val="99"/>
    <w:semiHidden/>
    <w:rsid w:val="00E27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072">
      <w:bodyDiv w:val="1"/>
      <w:marLeft w:val="0"/>
      <w:marRight w:val="0"/>
      <w:marTop w:val="0"/>
      <w:marBottom w:val="0"/>
      <w:divBdr>
        <w:top w:val="none" w:sz="0" w:space="0" w:color="auto"/>
        <w:left w:val="none" w:sz="0" w:space="0" w:color="auto"/>
        <w:bottom w:val="none" w:sz="0" w:space="0" w:color="auto"/>
        <w:right w:val="none" w:sz="0" w:space="0" w:color="auto"/>
      </w:divBdr>
    </w:div>
    <w:div w:id="1014503015">
      <w:bodyDiv w:val="1"/>
      <w:marLeft w:val="0"/>
      <w:marRight w:val="0"/>
      <w:marTop w:val="0"/>
      <w:marBottom w:val="0"/>
      <w:divBdr>
        <w:top w:val="none" w:sz="0" w:space="0" w:color="auto"/>
        <w:left w:val="none" w:sz="0" w:space="0" w:color="auto"/>
        <w:bottom w:val="none" w:sz="0" w:space="0" w:color="auto"/>
        <w:right w:val="none" w:sz="0" w:space="0" w:color="auto"/>
      </w:divBdr>
    </w:div>
    <w:div w:id="1063020770">
      <w:bodyDiv w:val="1"/>
      <w:marLeft w:val="0"/>
      <w:marRight w:val="0"/>
      <w:marTop w:val="0"/>
      <w:marBottom w:val="0"/>
      <w:divBdr>
        <w:top w:val="none" w:sz="0" w:space="0" w:color="auto"/>
        <w:left w:val="none" w:sz="0" w:space="0" w:color="auto"/>
        <w:bottom w:val="none" w:sz="0" w:space="0" w:color="auto"/>
        <w:right w:val="none" w:sz="0" w:space="0" w:color="auto"/>
      </w:divBdr>
    </w:div>
    <w:div w:id="19076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1" Type="http://schemas.openxmlformats.org/officeDocument/2006/relationships/image" Target="media/image2.jpeg"/><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8D290-7174-4000-99DD-E5E9483B5588}">
  <ds:schemaRefs>
    <ds:schemaRef ds:uri="http://schemas.microsoft.com/sharepoint/v3/contenttype/forms"/>
  </ds:schemaRefs>
</ds:datastoreItem>
</file>

<file path=customXml/itemProps2.xml><?xml version="1.0" encoding="utf-8"?>
<ds:datastoreItem xmlns:ds="http://schemas.openxmlformats.org/officeDocument/2006/customXml" ds:itemID="{D9CAD07B-0760-484E-B3B0-B0765D854496}"/>
</file>

<file path=customXml/itemProps3.xml><?xml version="1.0" encoding="utf-8"?>
<ds:datastoreItem xmlns:ds="http://schemas.openxmlformats.org/officeDocument/2006/customXml" ds:itemID="{73301295-B51D-4CBF-8831-01C0AF5893A0}"/>
</file>

<file path=customXml/itemProps4.xml><?xml version="1.0" encoding="utf-8"?>
<ds:datastoreItem xmlns:ds="http://schemas.openxmlformats.org/officeDocument/2006/customXml" ds:itemID="{229FF089-03FC-46DE-AB9B-48CB34ED7D00}"/>
</file>

<file path=docProps/app.xml><?xml version="1.0" encoding="utf-8"?>
<Properties xmlns="http://schemas.openxmlformats.org/officeDocument/2006/extended-properties" xmlns:vt="http://schemas.openxmlformats.org/officeDocument/2006/docPropsVTypes">
  <Template>Normal.dotm</Template>
  <TotalTime>7</TotalTime>
  <Pages>32</Pages>
  <Words>9631</Words>
  <Characters>54900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mary jennings</cp:lastModifiedBy>
  <cp:revision>5</cp:revision>
  <cp:lastPrinted>2022-05-03T15:58:00Z</cp:lastPrinted>
  <dcterms:created xsi:type="dcterms:W3CDTF">2022-06-02T17:59:00Z</dcterms:created>
  <dcterms:modified xsi:type="dcterms:W3CDTF">2022-06-03T10:54:00Z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